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C3B8" w14:textId="5849246A" w:rsidR="001A1E39" w:rsidRDefault="001A1E39" w:rsidP="001A1E39">
      <w:pPr>
        <w:spacing w:line="480" w:lineRule="auto"/>
        <w:ind w:firstLine="720"/>
        <w:contextualSpacing/>
        <w:jc w:val="both"/>
        <w:textAlignment w:val="baseline"/>
        <w:rPr>
          <w:rFonts w:ascii="Times New Roman" w:hAnsi="Times New Roman"/>
          <w:szCs w:val="24"/>
          <w:bdr w:val="none" w:sz="0" w:space="0" w:color="auto" w:frame="1"/>
        </w:rPr>
      </w:pPr>
      <w:r w:rsidRPr="00002C1C">
        <w:rPr>
          <w:rFonts w:ascii="Times New Roman" w:hAnsi="Times New Roman"/>
          <w:szCs w:val="24"/>
          <w:bdr w:val="none" w:sz="0" w:space="0" w:color="auto" w:frame="1"/>
        </w:rPr>
        <w:t>x.</w:t>
      </w:r>
      <w:r w:rsidRPr="00002C1C">
        <w:rPr>
          <w:rFonts w:ascii="Times New Roman" w:hAnsi="Times New Roman"/>
          <w:szCs w:val="24"/>
          <w:bdr w:val="none" w:sz="0" w:space="0" w:color="auto" w:frame="1"/>
        </w:rPr>
        <w:tab/>
        <w:t>I</w:t>
      </w:r>
      <w:r w:rsidRPr="00002C1C">
        <w:rPr>
          <w:rFonts w:ascii="Times New Roman" w:hAnsi="Times New Roman"/>
          <w:szCs w:val="24"/>
        </w:rPr>
        <w:t xml:space="preserve"> </w:t>
      </w:r>
      <w:r w:rsidRPr="00002C1C">
        <w:rPr>
          <w:rFonts w:ascii="Times New Roman" w:hAnsi="Times New Roman"/>
          <w:szCs w:val="24"/>
          <w:bdr w:val="none" w:sz="0" w:space="0" w:color="auto" w:frame="1"/>
        </w:rPr>
        <w:t>submit this affirmation in support of defendants’ motion pursuant to CPLR</w:t>
      </w:r>
      <w:r>
        <w:rPr>
          <w:rFonts w:ascii="Times New Roman" w:hAnsi="Times New Roman"/>
          <w:szCs w:val="24"/>
          <w:bdr w:val="none" w:sz="0" w:space="0" w:color="auto" w:frame="1"/>
        </w:rPr>
        <w:t xml:space="preserve"> </w:t>
      </w:r>
      <w:r w:rsidRPr="00002C1C">
        <w:rPr>
          <w:rFonts w:ascii="Times New Roman" w:hAnsi="Times New Roman"/>
          <w:szCs w:val="24"/>
          <w:bdr w:val="none" w:sz="0" w:space="0" w:color="auto" w:frame="1"/>
        </w:rPr>
        <w:t xml:space="preserve">3124 to compel the </w:t>
      </w:r>
      <w:bookmarkStart w:id="0" w:name="_Hlk215497345"/>
      <w:r w:rsidRPr="00002C1C">
        <w:rPr>
          <w:rFonts w:ascii="Times New Roman" w:hAnsi="Times New Roman"/>
          <w:szCs w:val="24"/>
          <w:bdr w:val="none" w:sz="0" w:space="0" w:color="auto" w:frame="1"/>
        </w:rPr>
        <w:t>production of plaintiff’s third-party litigation funding</w:t>
      </w:r>
      <w:r w:rsidR="00E1688B">
        <w:rPr>
          <w:rFonts w:ascii="Times New Roman" w:hAnsi="Times New Roman"/>
          <w:szCs w:val="24"/>
          <w:bdr w:val="none" w:sz="0" w:space="0" w:color="auto" w:frame="1"/>
        </w:rPr>
        <w:t xml:space="preserve"> (TPLF)</w:t>
      </w:r>
      <w:r w:rsidRPr="00002C1C">
        <w:rPr>
          <w:rFonts w:ascii="Times New Roman" w:hAnsi="Times New Roman"/>
          <w:szCs w:val="24"/>
          <w:bdr w:val="none" w:sz="0" w:space="0" w:color="auto" w:frame="1"/>
        </w:rPr>
        <w:t xml:space="preserve"> documents and related information.</w:t>
      </w:r>
      <w:bookmarkEnd w:id="0"/>
    </w:p>
    <w:p w14:paraId="312E611A" w14:textId="77777777" w:rsidR="001A1E39" w:rsidRPr="005731EB" w:rsidRDefault="001A1E39" w:rsidP="001A1E39">
      <w:pPr>
        <w:spacing w:line="480" w:lineRule="auto"/>
        <w:contextualSpacing/>
        <w:jc w:val="both"/>
        <w:textAlignment w:val="baseline"/>
        <w:rPr>
          <w:rFonts w:ascii="Times New Roman" w:hAnsi="Times New Roman"/>
          <w:szCs w:val="24"/>
          <w:bdr w:val="none" w:sz="0" w:space="0" w:color="auto" w:frame="1"/>
        </w:rPr>
      </w:pPr>
      <w:r>
        <w:rPr>
          <w:rFonts w:ascii="Times New Roman" w:hAnsi="Times New Roman"/>
          <w:szCs w:val="24"/>
          <w:bdr w:val="none" w:sz="0" w:space="0" w:color="auto" w:frame="1"/>
        </w:rPr>
        <w:t>A.</w:t>
      </w:r>
      <w:r>
        <w:rPr>
          <w:rFonts w:ascii="Times New Roman" w:hAnsi="Times New Roman"/>
          <w:szCs w:val="24"/>
          <w:bdr w:val="none" w:sz="0" w:space="0" w:color="auto" w:frame="1"/>
        </w:rPr>
        <w:tab/>
      </w:r>
      <w:r w:rsidRPr="005A0313">
        <w:rPr>
          <w:rFonts w:ascii="Times New Roman" w:eastAsia="Yu Gothic UI Semilight" w:hAnsi="Times New Roman"/>
          <w:color w:val="000000"/>
          <w:szCs w:val="24"/>
          <w:u w:val="single"/>
        </w:rPr>
        <w:t>Applicable Law</w:t>
      </w:r>
    </w:p>
    <w:p w14:paraId="5B4FDD6A" w14:textId="77777777" w:rsidR="001A1E39" w:rsidRDefault="001A1E39" w:rsidP="001A1E39">
      <w:pPr>
        <w:spacing w:line="480" w:lineRule="auto"/>
        <w:ind w:firstLine="720"/>
        <w:contextualSpacing/>
        <w:jc w:val="both"/>
        <w:rPr>
          <w:rFonts w:ascii="Times New Roman" w:hAnsi="Times New Roman"/>
          <w:szCs w:val="24"/>
          <w:bdr w:val="none" w:sz="0" w:space="0" w:color="auto" w:frame="1"/>
          <w14:ligatures w14:val="none"/>
        </w:rPr>
      </w:pPr>
      <w:r>
        <w:rPr>
          <w:rFonts w:ascii="Times New Roman" w:eastAsia="Yu Gothic UI Semilight" w:hAnsi="Times New Roman"/>
          <w:color w:val="000000"/>
          <w:szCs w:val="24"/>
        </w:rPr>
        <w:t>x.</w:t>
      </w:r>
      <w:r>
        <w:rPr>
          <w:rFonts w:ascii="Times New Roman" w:eastAsia="Yu Gothic UI Semilight" w:hAnsi="Times New Roman"/>
          <w:color w:val="000000"/>
          <w:szCs w:val="24"/>
        </w:rPr>
        <w:tab/>
        <w:t xml:space="preserve">CPLR 3101(a) requires the “full disclosure of all matter material and necessary in the prosecution or defense of an action.” What constitutes “material and necessary” information is “to be interpreted liberally to require disclosure, upon request, of any facts bearing on the controversy which will assist preparation for trial by sharpening the issues and reducing delay and prolixity.” </w:t>
      </w:r>
      <w:r>
        <w:rPr>
          <w:rFonts w:ascii="Times New Roman" w:eastAsia="Yu Gothic UI Semilight" w:hAnsi="Times New Roman"/>
          <w:color w:val="000000"/>
          <w:szCs w:val="24"/>
          <w:u w:val="single"/>
        </w:rPr>
        <w:t>Allen v.</w:t>
      </w:r>
      <w:r>
        <w:rPr>
          <w:rFonts w:ascii="Times New Roman" w:eastAsia="Yu Gothic UI Semilight" w:hAnsi="Times New Roman"/>
          <w:iCs/>
          <w:szCs w:val="24"/>
          <w:u w:val="single"/>
        </w:rPr>
        <w:t xml:space="preserve"> Crowell-Collier Publ’g Co.</w:t>
      </w:r>
      <w:r>
        <w:rPr>
          <w:rFonts w:ascii="Times New Roman" w:eastAsia="Yu Gothic UI Semilight" w:hAnsi="Times New Roman"/>
          <w:iCs/>
          <w:szCs w:val="24"/>
        </w:rPr>
        <w:t>,</w:t>
      </w:r>
      <w:r>
        <w:rPr>
          <w:rFonts w:ascii="Times New Roman" w:eastAsia="Yu Gothic UI Semilight" w:hAnsi="Times New Roman"/>
          <w:color w:val="000000"/>
          <w:szCs w:val="24"/>
        </w:rPr>
        <w:t xml:space="preserve"> 21 N.Y.2d 403, 406 (1968). The test is “one of usefulness and reason.” </w:t>
      </w:r>
      <w:r>
        <w:rPr>
          <w:rFonts w:ascii="Times New Roman" w:eastAsia="Yu Gothic UI Semilight" w:hAnsi="Times New Roman"/>
          <w:color w:val="000000"/>
          <w:szCs w:val="24"/>
          <w:u w:val="single"/>
        </w:rPr>
        <w:t>Id.</w:t>
      </w:r>
      <w:r>
        <w:rPr>
          <w:rFonts w:ascii="Times New Roman" w:eastAsia="Yu Gothic UI Semilight" w:hAnsi="Times New Roman"/>
          <w:color w:val="000000"/>
          <w:szCs w:val="24"/>
        </w:rPr>
        <w:t xml:space="preserve"> “[D]</w:t>
      </w:r>
      <w:proofErr w:type="spellStart"/>
      <w:r>
        <w:rPr>
          <w:rFonts w:ascii="Times New Roman" w:eastAsia="Yu Gothic UI Semilight" w:hAnsi="Times New Roman"/>
          <w:color w:val="000000"/>
          <w:szCs w:val="24"/>
        </w:rPr>
        <w:t>iscovery</w:t>
      </w:r>
      <w:proofErr w:type="spellEnd"/>
      <w:r>
        <w:rPr>
          <w:rFonts w:ascii="Times New Roman" w:eastAsia="Yu Gothic UI Semilight" w:hAnsi="Times New Roman"/>
          <w:color w:val="000000"/>
          <w:szCs w:val="24"/>
        </w:rPr>
        <w:t xml:space="preserve"> determinations are discretionary; each request must be evaluated on a case-by-case basis with due regard for the strong policy supporting open disclosure.” </w:t>
      </w:r>
      <w:r>
        <w:rPr>
          <w:rFonts w:ascii="Times New Roman" w:hAnsi="Times New Roman"/>
          <w:szCs w:val="24"/>
          <w:u w:val="single"/>
          <w:bdr w:val="none" w:sz="0" w:space="0" w:color="auto" w:frame="1"/>
          <w14:ligatures w14:val="none"/>
        </w:rPr>
        <w:t>Andon v. 302-304 Mott St. Assoc.</w:t>
      </w:r>
      <w:r>
        <w:rPr>
          <w:rFonts w:ascii="Times New Roman" w:hAnsi="Times New Roman"/>
          <w:szCs w:val="24"/>
          <w:bdr w:val="none" w:sz="0" w:space="0" w:color="auto" w:frame="1"/>
          <w14:ligatures w14:val="none"/>
        </w:rPr>
        <w:t xml:space="preserve">, 94 N.Y.2d 740, 747 </w:t>
      </w:r>
      <w:r>
        <w:rPr>
          <w:rFonts w:ascii="Times New Roman" w:hAnsi="Times New Roman"/>
          <w:szCs w:val="24"/>
          <w:bdr w:val="none" w:sz="0" w:space="0" w:color="auto" w:frame="1"/>
        </w:rPr>
        <w:t>(2000). Additionally, “</w:t>
      </w:r>
      <w:r>
        <w:rPr>
          <w:rFonts w:ascii="Times New Roman" w:hAnsi="Times New Roman"/>
          <w:color w:val="212121"/>
          <w:szCs w:val="24"/>
        </w:rPr>
        <w:t xml:space="preserve">a Trial Judge assessing the propriety of a [discovery] request…must weigh the relevant policy interests involved…” </w:t>
      </w:r>
      <w:proofErr w:type="spellStart"/>
      <w:r>
        <w:rPr>
          <w:rFonts w:ascii="Times New Roman" w:hAnsi="Times New Roman"/>
          <w:szCs w:val="24"/>
          <w:u w:val="single"/>
          <w:bdr w:val="none" w:sz="0" w:space="0" w:color="auto" w:frame="1"/>
        </w:rPr>
        <w:t>Jasopersaud</w:t>
      </w:r>
      <w:proofErr w:type="spellEnd"/>
      <w:r>
        <w:rPr>
          <w:rFonts w:ascii="Times New Roman" w:hAnsi="Times New Roman"/>
          <w:szCs w:val="24"/>
          <w:u w:val="single"/>
          <w:bdr w:val="none" w:sz="0" w:space="0" w:color="auto" w:frame="1"/>
        </w:rPr>
        <w:t xml:space="preserve"> v. Tao Gyoun Rho</w:t>
      </w:r>
      <w:r>
        <w:rPr>
          <w:rFonts w:ascii="Times New Roman" w:hAnsi="Times New Roman"/>
          <w:szCs w:val="24"/>
          <w:bdr w:val="none" w:sz="0" w:space="0" w:color="auto" w:frame="1"/>
        </w:rPr>
        <w:t xml:space="preserve">, 169 A.D.2d 184, 188 (2d Dept 1991); </w:t>
      </w:r>
      <w:r>
        <w:rPr>
          <w:rFonts w:ascii="Times New Roman" w:hAnsi="Times New Roman"/>
          <w:szCs w:val="24"/>
          <w:u w:val="single"/>
          <w:bdr w:val="none" w:sz="0" w:space="0" w:color="auto" w:frame="1"/>
        </w:rPr>
        <w:t>s</w:t>
      </w:r>
      <w:r>
        <w:rPr>
          <w:rFonts w:ascii="Times New Roman" w:hAnsi="Times New Roman"/>
          <w:color w:val="212121"/>
          <w:szCs w:val="24"/>
          <w:u w:val="single"/>
          <w14:ligatures w14:val="none"/>
        </w:rPr>
        <w:t>ee</w:t>
      </w:r>
      <w:r>
        <w:rPr>
          <w:rFonts w:ascii="Times New Roman" w:hAnsi="Times New Roman"/>
          <w:color w:val="212121"/>
          <w:szCs w:val="24"/>
          <w14:ligatures w14:val="none"/>
        </w:rPr>
        <w:t xml:space="preserve"> </w:t>
      </w:r>
      <w:r>
        <w:rPr>
          <w:rFonts w:ascii="Times New Roman" w:hAnsi="Times New Roman"/>
          <w:color w:val="212121"/>
          <w:szCs w:val="24"/>
          <w:u w:val="single"/>
          <w14:ligatures w14:val="none"/>
        </w:rPr>
        <w:t>also</w:t>
      </w:r>
      <w:r>
        <w:rPr>
          <w:rFonts w:ascii="Times New Roman" w:hAnsi="Times New Roman"/>
          <w:color w:val="212121"/>
          <w:szCs w:val="24"/>
          <w14:ligatures w14:val="none"/>
        </w:rPr>
        <w:t xml:space="preserve"> </w:t>
      </w:r>
      <w:r>
        <w:rPr>
          <w:rFonts w:ascii="Times New Roman" w:hAnsi="Times New Roman"/>
          <w:color w:val="212121"/>
          <w:szCs w:val="24"/>
          <w:u w:val="single"/>
          <w14:ligatures w14:val="none"/>
        </w:rPr>
        <w:t>Feger v. Warwick Animal Shelter</w:t>
      </w:r>
      <w:r>
        <w:rPr>
          <w:rFonts w:ascii="Times New Roman" w:hAnsi="Times New Roman"/>
          <w:color w:val="212121"/>
          <w:szCs w:val="24"/>
          <w14:ligatures w14:val="none"/>
        </w:rPr>
        <w:t xml:space="preserve">, 59 A.D.3d 68, 71 (2d </w:t>
      </w:r>
      <w:proofErr w:type="spellStart"/>
      <w:r>
        <w:rPr>
          <w:rFonts w:ascii="Times New Roman" w:hAnsi="Times New Roman"/>
          <w:color w:val="212121"/>
          <w:szCs w:val="24"/>
          <w14:ligatures w14:val="none"/>
        </w:rPr>
        <w:t>Dep’t</w:t>
      </w:r>
      <w:proofErr w:type="spellEnd"/>
      <w:r>
        <w:rPr>
          <w:rFonts w:ascii="Times New Roman" w:hAnsi="Times New Roman"/>
          <w:color w:val="212121"/>
          <w:szCs w:val="24"/>
          <w14:ligatures w14:val="none"/>
        </w:rPr>
        <w:t xml:space="preserve"> 2008) (explicitly citing “public policy considerations” in weighing the motion court’s granting of a protective order and denying disclosure under CPLR 3101(a)).</w:t>
      </w:r>
    </w:p>
    <w:p w14:paraId="21EE037A" w14:textId="77777777" w:rsidR="001A1E39" w:rsidRDefault="001A1E39" w:rsidP="001A1E39">
      <w:pPr>
        <w:autoSpaceDE w:val="0"/>
        <w:autoSpaceDN w:val="0"/>
        <w:adjustRightInd w:val="0"/>
        <w:spacing w:line="480" w:lineRule="auto"/>
        <w:ind w:firstLine="720"/>
        <w:contextualSpacing/>
        <w:jc w:val="both"/>
        <w:rPr>
          <w:rFonts w:ascii="Times New Roman" w:eastAsia="Yu Gothic UI Semilight" w:hAnsi="Times New Roman"/>
          <w:color w:val="000000"/>
          <w:szCs w:val="24"/>
        </w:rPr>
      </w:pPr>
      <w:r>
        <w:rPr>
          <w:rFonts w:ascii="Times New Roman" w:eastAsia="Yu Gothic UI Semilight" w:hAnsi="Times New Roman"/>
          <w:color w:val="000000"/>
          <w:szCs w:val="24"/>
        </w:rPr>
        <w:t>x.</w:t>
      </w:r>
      <w:r>
        <w:rPr>
          <w:rFonts w:ascii="Times New Roman" w:eastAsia="Yu Gothic UI Semilight" w:hAnsi="Times New Roman"/>
          <w:color w:val="000000"/>
          <w:szCs w:val="24"/>
        </w:rPr>
        <w:tab/>
        <w:t>CPLR 3124 provides that “[</w:t>
      </w:r>
      <w:proofErr w:type="spellStart"/>
      <w:r>
        <w:rPr>
          <w:rFonts w:ascii="Times New Roman" w:eastAsia="Yu Gothic UI Semilight" w:hAnsi="Times New Roman"/>
          <w:color w:val="000000"/>
          <w:szCs w:val="24"/>
        </w:rPr>
        <w:t>i</w:t>
      </w:r>
      <w:proofErr w:type="spellEnd"/>
      <w:r>
        <w:rPr>
          <w:rFonts w:ascii="Times New Roman" w:eastAsia="Yu Gothic UI Semilight" w:hAnsi="Times New Roman"/>
          <w:color w:val="000000"/>
          <w:szCs w:val="24"/>
        </w:rPr>
        <w:t xml:space="preserve">]f a person fails to respond to or comply with any request, notice, interrogatory, demand, question or order under this article, except a notice to admit under section 3123, the party seeking disclosure may move to compel compliance or a response.”  A motion to compel will be granted where “the information sought is material and necessary.”  </w:t>
      </w:r>
      <w:r>
        <w:rPr>
          <w:rFonts w:ascii="Times New Roman" w:eastAsia="Yu Gothic UI Semilight" w:hAnsi="Times New Roman"/>
          <w:color w:val="000000"/>
          <w:szCs w:val="24"/>
          <w:u w:val="single"/>
        </w:rPr>
        <w:t>O’Dwyer v. Law Offs. Of Rex E. Zachofsky, PLLC</w:t>
      </w:r>
      <w:r>
        <w:rPr>
          <w:rFonts w:ascii="Times New Roman" w:eastAsia="Yu Gothic UI Semilight" w:hAnsi="Times New Roman"/>
          <w:color w:val="000000"/>
          <w:szCs w:val="24"/>
        </w:rPr>
        <w:t xml:space="preserve">, 170 A.D.3d 494, 494 (1st </w:t>
      </w:r>
      <w:proofErr w:type="spellStart"/>
      <w:r>
        <w:rPr>
          <w:rFonts w:ascii="Times New Roman" w:eastAsia="Yu Gothic UI Semilight" w:hAnsi="Times New Roman"/>
          <w:color w:val="000000"/>
          <w:szCs w:val="24"/>
        </w:rPr>
        <w:t>Dep’t</w:t>
      </w:r>
      <w:proofErr w:type="spellEnd"/>
      <w:r>
        <w:rPr>
          <w:rFonts w:ascii="Times New Roman" w:eastAsia="Yu Gothic UI Semilight" w:hAnsi="Times New Roman"/>
          <w:color w:val="000000"/>
          <w:szCs w:val="24"/>
        </w:rPr>
        <w:t xml:space="preserve"> 2019). Plaintiffs’ “failure to make a timely challenge to [the] document demand pursuant to CPLR 3122(a)(1) forecloses inquiry into the propriety of the information sought. . .” </w:t>
      </w:r>
      <w:r>
        <w:rPr>
          <w:rFonts w:ascii="Times New Roman" w:eastAsia="Yu Gothic UI Semilight" w:hAnsi="Times New Roman"/>
          <w:color w:val="000000"/>
          <w:szCs w:val="24"/>
          <w:u w:val="single"/>
        </w:rPr>
        <w:t>Recine v. City of NY</w:t>
      </w:r>
      <w:r>
        <w:rPr>
          <w:rFonts w:ascii="Times New Roman" w:eastAsia="Yu Gothic UI Semilight" w:hAnsi="Times New Roman"/>
          <w:color w:val="000000"/>
          <w:szCs w:val="24"/>
        </w:rPr>
        <w:t xml:space="preserve">, 156 A.D.3d 836, 836 (2d </w:t>
      </w:r>
      <w:proofErr w:type="spellStart"/>
      <w:r>
        <w:rPr>
          <w:rFonts w:ascii="Times New Roman" w:eastAsia="Yu Gothic UI Semilight" w:hAnsi="Times New Roman"/>
          <w:color w:val="000000"/>
          <w:szCs w:val="24"/>
        </w:rPr>
        <w:t>Dep’t</w:t>
      </w:r>
      <w:proofErr w:type="spellEnd"/>
      <w:r>
        <w:rPr>
          <w:rFonts w:ascii="Times New Roman" w:eastAsia="Yu Gothic UI Semilight" w:hAnsi="Times New Roman"/>
          <w:color w:val="000000"/>
          <w:szCs w:val="24"/>
        </w:rPr>
        <w:t xml:space="preserve"> 2017). “Objections pertaining to irrelevance under CPLR § 3101(a) or material prepared in anticipation of litigation under CPLR § 3101(d)(2) are no longer available.” </w:t>
      </w:r>
      <w:r>
        <w:rPr>
          <w:rFonts w:ascii="Times New Roman" w:eastAsia="Yu Gothic UI Semilight" w:hAnsi="Times New Roman"/>
          <w:color w:val="000000"/>
          <w:szCs w:val="24"/>
          <w:u w:val="single"/>
        </w:rPr>
        <w:t>Stark v. Matchett</w:t>
      </w:r>
      <w:r>
        <w:rPr>
          <w:rFonts w:ascii="Times New Roman" w:eastAsia="Yu Gothic UI Semilight" w:hAnsi="Times New Roman"/>
          <w:color w:val="000000"/>
          <w:szCs w:val="24"/>
        </w:rPr>
        <w:t xml:space="preserve">, 2016 NY Slip Op 31474[U], *5 (Sup Ct, N.Y. County 2016) citing </w:t>
      </w:r>
      <w:r>
        <w:rPr>
          <w:rFonts w:ascii="Times New Roman" w:eastAsia="Yu Gothic UI Semilight" w:hAnsi="Times New Roman"/>
          <w:color w:val="000000"/>
          <w:szCs w:val="24"/>
          <w:u w:val="single"/>
        </w:rPr>
        <w:t xml:space="preserve">Roman Catholic Church of the Good Shepherd v. </w:t>
      </w:r>
      <w:proofErr w:type="spellStart"/>
      <w:r>
        <w:rPr>
          <w:rFonts w:ascii="Times New Roman" w:eastAsia="Yu Gothic UI Semilight" w:hAnsi="Times New Roman"/>
          <w:color w:val="000000"/>
          <w:szCs w:val="24"/>
          <w:u w:val="single"/>
        </w:rPr>
        <w:t>Tempco</w:t>
      </w:r>
      <w:proofErr w:type="spellEnd"/>
      <w:r>
        <w:rPr>
          <w:rFonts w:ascii="Times New Roman" w:eastAsia="Yu Gothic UI Semilight" w:hAnsi="Times New Roman"/>
          <w:color w:val="000000"/>
          <w:szCs w:val="24"/>
          <w:u w:val="single"/>
        </w:rPr>
        <w:t xml:space="preserve"> Systems</w:t>
      </w:r>
      <w:r>
        <w:rPr>
          <w:rFonts w:ascii="Times New Roman" w:eastAsia="Yu Gothic UI Semilight" w:hAnsi="Times New Roman"/>
          <w:color w:val="000000"/>
          <w:szCs w:val="24"/>
        </w:rPr>
        <w:t xml:space="preserve">, 202 A.D.2d 257, 258 (1st </w:t>
      </w:r>
      <w:proofErr w:type="spellStart"/>
      <w:r>
        <w:rPr>
          <w:rFonts w:ascii="Times New Roman" w:eastAsia="Yu Gothic UI Semilight" w:hAnsi="Times New Roman"/>
          <w:color w:val="000000"/>
          <w:szCs w:val="24"/>
        </w:rPr>
        <w:t>Dep’t</w:t>
      </w:r>
      <w:proofErr w:type="spellEnd"/>
      <w:r>
        <w:rPr>
          <w:rFonts w:ascii="Times New Roman" w:eastAsia="Yu Gothic UI Semilight" w:hAnsi="Times New Roman"/>
          <w:color w:val="000000"/>
          <w:szCs w:val="24"/>
        </w:rPr>
        <w:t xml:space="preserve"> 1994). Only two limited exceptions are recognized in case law and that is pertaining to documents privileged under CPLR 3101 or requests that are palpably improper. </w:t>
      </w:r>
      <w:r>
        <w:rPr>
          <w:rFonts w:ascii="Times New Roman" w:eastAsia="Yu Gothic UI Semilight" w:hAnsi="Times New Roman"/>
          <w:color w:val="000000"/>
          <w:szCs w:val="24"/>
          <w:u w:val="single"/>
        </w:rPr>
        <w:t>Recine</w:t>
      </w:r>
      <w:r>
        <w:rPr>
          <w:rFonts w:ascii="Times New Roman" w:eastAsia="Yu Gothic UI Semilight" w:hAnsi="Times New Roman"/>
          <w:color w:val="000000"/>
          <w:szCs w:val="24"/>
        </w:rPr>
        <w:t xml:space="preserve">, 156 A.D.3d at 836. “A disclosure request is palpably improper if it seeks information of a confidential and private nature that does not appear to be relevant to the issues in the case.” </w:t>
      </w:r>
      <w:proofErr w:type="spellStart"/>
      <w:r>
        <w:rPr>
          <w:rFonts w:ascii="Times New Roman" w:eastAsia="Yu Gothic UI Semilight" w:hAnsi="Times New Roman"/>
          <w:color w:val="000000"/>
          <w:szCs w:val="24"/>
          <w:u w:val="single"/>
        </w:rPr>
        <w:t>Titleserv</w:t>
      </w:r>
      <w:proofErr w:type="spellEnd"/>
      <w:r>
        <w:rPr>
          <w:rFonts w:ascii="Times New Roman" w:eastAsia="Yu Gothic UI Semilight" w:hAnsi="Times New Roman"/>
          <w:color w:val="000000"/>
          <w:szCs w:val="24"/>
          <w:u w:val="single"/>
        </w:rPr>
        <w:t>, Inc. v. Zenobio</w:t>
      </w:r>
      <w:r>
        <w:rPr>
          <w:rFonts w:ascii="Times New Roman" w:eastAsia="Yu Gothic UI Semilight" w:hAnsi="Times New Roman"/>
          <w:color w:val="000000"/>
          <w:szCs w:val="24"/>
        </w:rPr>
        <w:t xml:space="preserve">, 210 A.D.2d 314, 315-316 (2d </w:t>
      </w:r>
      <w:proofErr w:type="spellStart"/>
      <w:r>
        <w:rPr>
          <w:rFonts w:ascii="Times New Roman" w:eastAsia="Yu Gothic UI Semilight" w:hAnsi="Times New Roman"/>
          <w:color w:val="000000"/>
          <w:szCs w:val="24"/>
        </w:rPr>
        <w:t>Dep’t</w:t>
      </w:r>
      <w:proofErr w:type="spellEnd"/>
      <w:r>
        <w:rPr>
          <w:rFonts w:ascii="Times New Roman" w:eastAsia="Yu Gothic UI Semilight" w:hAnsi="Times New Roman"/>
          <w:color w:val="000000"/>
          <w:szCs w:val="24"/>
        </w:rPr>
        <w:t xml:space="preserve"> 1994). </w:t>
      </w:r>
    </w:p>
    <w:p w14:paraId="43081C3D" w14:textId="0F29B262" w:rsidR="001A1E39" w:rsidRDefault="001A1E39" w:rsidP="001A1E39">
      <w:pPr>
        <w:autoSpaceDE w:val="0"/>
        <w:autoSpaceDN w:val="0"/>
        <w:adjustRightInd w:val="0"/>
        <w:spacing w:line="480" w:lineRule="auto"/>
        <w:ind w:firstLine="720"/>
        <w:contextualSpacing/>
        <w:jc w:val="both"/>
        <w:rPr>
          <w:rFonts w:ascii="Times New Roman" w:eastAsia="Yu Gothic UI Semilight" w:hAnsi="Times New Roman"/>
          <w:color w:val="000000"/>
          <w:szCs w:val="24"/>
        </w:rPr>
      </w:pPr>
      <w:r>
        <w:rPr>
          <w:rFonts w:ascii="Times New Roman" w:eastAsia="Yu Gothic UI Semilight" w:hAnsi="Times New Roman"/>
          <w:color w:val="000000"/>
          <w:szCs w:val="24"/>
        </w:rPr>
        <w:t>x.</w:t>
      </w:r>
      <w:r>
        <w:rPr>
          <w:rFonts w:ascii="Times New Roman" w:eastAsia="Yu Gothic UI Semilight" w:hAnsi="Times New Roman"/>
          <w:color w:val="000000"/>
          <w:szCs w:val="24"/>
        </w:rPr>
        <w:tab/>
        <w:t>As we now demonstrate, TPLF information is</w:t>
      </w:r>
      <w:r w:rsidR="00D7670E">
        <w:rPr>
          <w:rFonts w:ascii="Times New Roman" w:eastAsia="Yu Gothic UI Semilight" w:hAnsi="Times New Roman"/>
          <w:color w:val="000000"/>
          <w:szCs w:val="24"/>
        </w:rPr>
        <w:t xml:space="preserve"> discoverable and relevant to the parties’ claims</w:t>
      </w:r>
      <w:r w:rsidR="00F614A0">
        <w:rPr>
          <w:rFonts w:ascii="Times New Roman" w:eastAsia="Yu Gothic UI Semilight" w:hAnsi="Times New Roman"/>
          <w:color w:val="000000"/>
          <w:szCs w:val="24"/>
        </w:rPr>
        <w:t xml:space="preserve"> </w:t>
      </w:r>
      <w:r w:rsidR="00D7670E">
        <w:rPr>
          <w:rFonts w:ascii="Times New Roman" w:eastAsia="Yu Gothic UI Semilight" w:hAnsi="Times New Roman"/>
          <w:color w:val="000000"/>
          <w:szCs w:val="24"/>
        </w:rPr>
        <w:t>and constitutes</w:t>
      </w:r>
      <w:r>
        <w:rPr>
          <w:rFonts w:ascii="Times New Roman" w:eastAsia="Yu Gothic UI Semilight" w:hAnsi="Times New Roman"/>
          <w:color w:val="000000"/>
          <w:szCs w:val="24"/>
        </w:rPr>
        <w:t xml:space="preserve"> lien information necessary to r</w:t>
      </w:r>
      <w:r w:rsidR="00C90778">
        <w:rPr>
          <w:rFonts w:ascii="Times New Roman" w:eastAsia="Yu Gothic UI Semilight" w:hAnsi="Times New Roman"/>
          <w:color w:val="000000"/>
          <w:szCs w:val="24"/>
        </w:rPr>
        <w:t xml:space="preserve">esolve </w:t>
      </w:r>
      <w:r w:rsidR="001409E7">
        <w:rPr>
          <w:rFonts w:ascii="Times New Roman" w:eastAsia="Yu Gothic UI Semilight" w:hAnsi="Times New Roman"/>
          <w:color w:val="000000"/>
          <w:szCs w:val="24"/>
        </w:rPr>
        <w:t>the</w:t>
      </w:r>
      <w:r>
        <w:rPr>
          <w:rFonts w:ascii="Times New Roman" w:eastAsia="Yu Gothic UI Semilight" w:hAnsi="Times New Roman"/>
          <w:color w:val="000000"/>
          <w:szCs w:val="24"/>
        </w:rPr>
        <w:t xml:space="preserve"> action.</w:t>
      </w:r>
    </w:p>
    <w:p w14:paraId="29301D7D" w14:textId="7FA10309" w:rsidR="001A1E39" w:rsidRPr="00C30430" w:rsidRDefault="001A1E39" w:rsidP="001A1E39">
      <w:pPr>
        <w:spacing w:line="480" w:lineRule="auto"/>
        <w:contextualSpacing/>
        <w:jc w:val="both"/>
        <w:textAlignment w:val="baseline"/>
        <w:rPr>
          <w:rFonts w:ascii="Times New Roman" w:hAnsi="Times New Roman"/>
          <w:szCs w:val="24"/>
          <w:u w:val="single"/>
          <w:bdr w:val="none" w:sz="0" w:space="0" w:color="auto" w:frame="1"/>
        </w:rPr>
      </w:pPr>
      <w:r w:rsidRPr="001D4CBD">
        <w:rPr>
          <w:rFonts w:ascii="Times New Roman" w:hAnsi="Times New Roman"/>
          <w:szCs w:val="24"/>
          <w:bdr w:val="none" w:sz="0" w:space="0" w:color="auto" w:frame="1"/>
        </w:rPr>
        <w:t>B.</w:t>
      </w:r>
      <w:r w:rsidRPr="001D4CBD">
        <w:rPr>
          <w:rFonts w:ascii="Times New Roman" w:hAnsi="Times New Roman"/>
          <w:szCs w:val="24"/>
          <w:bdr w:val="none" w:sz="0" w:space="0" w:color="auto" w:frame="1"/>
        </w:rPr>
        <w:tab/>
      </w:r>
      <w:r w:rsidRPr="00C30430">
        <w:rPr>
          <w:rFonts w:ascii="Times New Roman" w:hAnsi="Times New Roman"/>
          <w:szCs w:val="24"/>
          <w:u w:val="single"/>
          <w:bdr w:val="none" w:sz="0" w:space="0" w:color="auto" w:frame="1"/>
        </w:rPr>
        <w:t xml:space="preserve">TPLF </w:t>
      </w:r>
      <w:r w:rsidR="00501C7A">
        <w:rPr>
          <w:rFonts w:ascii="Times New Roman" w:hAnsi="Times New Roman"/>
          <w:szCs w:val="24"/>
          <w:u w:val="single"/>
          <w:bdr w:val="none" w:sz="0" w:space="0" w:color="auto" w:frame="1"/>
        </w:rPr>
        <w:t>Material</w:t>
      </w:r>
      <w:r w:rsidRPr="00C30430">
        <w:rPr>
          <w:rFonts w:ascii="Times New Roman" w:hAnsi="Times New Roman"/>
          <w:szCs w:val="24"/>
          <w:u w:val="single"/>
          <w:bdr w:val="none" w:sz="0" w:space="0" w:color="auto" w:frame="1"/>
        </w:rPr>
        <w:t xml:space="preserve"> is </w:t>
      </w:r>
      <w:r w:rsidR="006822C8">
        <w:rPr>
          <w:rFonts w:ascii="Times New Roman" w:hAnsi="Times New Roman"/>
          <w:szCs w:val="24"/>
          <w:u w:val="single"/>
          <w:bdr w:val="none" w:sz="0" w:space="0" w:color="auto" w:frame="1"/>
        </w:rPr>
        <w:t>Discoverable</w:t>
      </w:r>
      <w:r w:rsidR="00114203">
        <w:rPr>
          <w:rFonts w:ascii="Times New Roman" w:hAnsi="Times New Roman"/>
          <w:szCs w:val="24"/>
          <w:u w:val="single"/>
          <w:bdr w:val="none" w:sz="0" w:space="0" w:color="auto" w:frame="1"/>
        </w:rPr>
        <w:t xml:space="preserve"> and Relevant</w:t>
      </w:r>
    </w:p>
    <w:p w14:paraId="6AB776EF" w14:textId="5523C0CE" w:rsidR="007D1FFC" w:rsidRPr="007D1FFC" w:rsidRDefault="001A1E39" w:rsidP="007D1FFC">
      <w:pPr>
        <w:spacing w:line="480" w:lineRule="auto"/>
        <w:ind w:firstLine="720"/>
        <w:contextualSpacing/>
        <w:jc w:val="both"/>
        <w:textAlignment w:val="baseline"/>
        <w:rPr>
          <w:rFonts w:ascii="Times New Roman" w:hAnsi="Times New Roman"/>
          <w:color w:val="000000"/>
          <w:szCs w:val="24"/>
          <w14:ligatures w14:val="none"/>
        </w:rPr>
      </w:pPr>
      <w:r>
        <w:rPr>
          <w:rFonts w:ascii="Times New Roman" w:hAnsi="Times New Roman"/>
          <w:szCs w:val="24"/>
          <w:bdr w:val="none" w:sz="0" w:space="0" w:color="auto" w:frame="1"/>
        </w:rPr>
        <w:t>x.</w:t>
      </w:r>
      <w:r>
        <w:rPr>
          <w:rFonts w:ascii="Times New Roman" w:hAnsi="Times New Roman"/>
          <w:szCs w:val="24"/>
          <w:bdr w:val="none" w:sz="0" w:space="0" w:color="auto" w:frame="1"/>
        </w:rPr>
        <w:tab/>
        <w:t xml:space="preserve">A TPLF agreement is </w:t>
      </w:r>
      <w:r>
        <w:rPr>
          <w:rFonts w:ascii="Times New Roman" w:eastAsia="Yu Gothic UI Semilight" w:hAnsi="Times New Roman"/>
          <w:szCs w:val="24"/>
        </w:rPr>
        <w:t>“</w:t>
      </w:r>
      <w:r>
        <w:rPr>
          <w:rFonts w:ascii="Times New Roman" w:hAnsi="Times New Roman"/>
          <w:szCs w:val="24"/>
        </w:rPr>
        <w:t xml:space="preserve">an arrangement in which a funder that is not a party to a lawsuit agrees to provide nonrecourse funding to a litigant or law firm in exchange for an interest in the potential recovery in a lawsuit.” </w:t>
      </w:r>
      <w:r>
        <w:rPr>
          <w:rFonts w:ascii="Times New Roman" w:hAnsi="Times New Roman"/>
          <w:color w:val="000000"/>
          <w:szCs w:val="24"/>
        </w:rPr>
        <w:t xml:space="preserve">U.S. Gov’t Accountability Office, GAO-23-105210, </w:t>
      </w:r>
      <w:r>
        <w:rPr>
          <w:rFonts w:ascii="Times New Roman" w:hAnsi="Times New Roman"/>
          <w:color w:val="000000"/>
          <w:szCs w:val="24"/>
          <w:u w:val="single"/>
        </w:rPr>
        <w:t>Third-Party Litigation Financing: Market Characteristics, Data and Trends</w:t>
      </w:r>
      <w:r>
        <w:rPr>
          <w:rFonts w:ascii="Times New Roman" w:hAnsi="Times New Roman"/>
          <w:color w:val="000000"/>
          <w:szCs w:val="24"/>
        </w:rPr>
        <w:t>, 1 (Dec. 2022) at 1</w:t>
      </w:r>
      <w:r>
        <w:rPr>
          <w:rStyle w:val="FootnoteReference"/>
          <w:rFonts w:ascii="Times New Roman" w:hAnsi="Times New Roman"/>
          <w:color w:val="000000"/>
          <w:szCs w:val="24"/>
        </w:rPr>
        <w:footnoteReference w:id="1"/>
      </w:r>
      <w:r>
        <w:rPr>
          <w:rFonts w:ascii="Times New Roman" w:hAnsi="Times New Roman"/>
          <w:color w:val="000000"/>
          <w:szCs w:val="24"/>
        </w:rPr>
        <w:t xml:space="preserve">. Because </w:t>
      </w:r>
      <w:r>
        <w:rPr>
          <w:rFonts w:ascii="Times New Roman" w:hAnsi="Times New Roman"/>
          <w:szCs w:val="24"/>
        </w:rPr>
        <w:t xml:space="preserve">such agreements are “contingent,” meaning the plaintiff must repay the funder only if he recovers money damages, New York law deems them investments rather than loans and, consequently, exempts the astronomical interest rates typically fixed by such agreements from the state’s usury laws. </w:t>
      </w:r>
      <w:r>
        <w:rPr>
          <w:rFonts w:ascii="Times New Roman" w:hAnsi="Times New Roman"/>
          <w:szCs w:val="24"/>
          <w:u w:val="single"/>
        </w:rPr>
        <w:t>See</w:t>
      </w:r>
      <w:r>
        <w:rPr>
          <w:rFonts w:ascii="Times New Roman" w:hAnsi="Times New Roman"/>
          <w:szCs w:val="24"/>
        </w:rPr>
        <w:t xml:space="preserve"> </w:t>
      </w:r>
      <w:r>
        <w:rPr>
          <w:rFonts w:ascii="Times New Roman" w:hAnsi="Times New Roman"/>
          <w:color w:val="212121"/>
          <w:szCs w:val="24"/>
          <w:u w:val="single"/>
          <w:bdr w:val="none" w:sz="0" w:space="0" w:color="auto" w:frame="1"/>
          <w14:ligatures w14:val="none"/>
        </w:rPr>
        <w:t>Cash4Cases, Inc. v. Brunetti</w:t>
      </w:r>
      <w:r>
        <w:rPr>
          <w:rFonts w:ascii="Times New Roman" w:hAnsi="Times New Roman"/>
          <w:color w:val="000000"/>
          <w:szCs w:val="24"/>
          <w14:ligatures w14:val="none"/>
        </w:rPr>
        <w:t xml:space="preserve">, 167 A.D.3d 448, 449 (1st </w:t>
      </w:r>
      <w:proofErr w:type="spellStart"/>
      <w:r>
        <w:rPr>
          <w:rFonts w:ascii="Times New Roman" w:hAnsi="Times New Roman"/>
          <w:color w:val="000000"/>
          <w:szCs w:val="24"/>
          <w14:ligatures w14:val="none"/>
        </w:rPr>
        <w:t>Dep’t</w:t>
      </w:r>
      <w:proofErr w:type="spellEnd"/>
      <w:r>
        <w:rPr>
          <w:rFonts w:ascii="Times New Roman" w:hAnsi="Times New Roman"/>
          <w:color w:val="000000"/>
          <w:szCs w:val="24"/>
          <w14:ligatures w14:val="none"/>
        </w:rPr>
        <w:t xml:space="preserve"> 2018) (holding that a TPLF agreement involving a $76,930 sum accruing annual interest of 45.93% was not a loan “</w:t>
      </w:r>
      <w:r>
        <w:rPr>
          <w:rFonts w:ascii="Times New Roman" w:hAnsi="Times New Roman"/>
          <w:color w:val="212121"/>
          <w:szCs w:val="24"/>
        </w:rPr>
        <w:t>because the repayment of principal is entirely contingent on the success of the underlying lawsuit.”)</w:t>
      </w:r>
      <w:r>
        <w:rPr>
          <w:rFonts w:ascii="Times New Roman" w:hAnsi="Times New Roman"/>
          <w:color w:val="000000"/>
          <w:szCs w:val="24"/>
          <w14:ligatures w14:val="none"/>
        </w:rPr>
        <w:t xml:space="preserve">. Absent such contingency, however, TPLF agreements are loans. For instance, a TPLF agreement executed after a liability determination in the plaintiff’s favor – thereby ensuring recovery –  must comply with New York’s prohibitions on civil and criminal usury (interest exceeding 16 percent and 25 percent, respectively) or be subject to voidance by the Court. </w:t>
      </w:r>
      <w:r>
        <w:rPr>
          <w:rFonts w:ascii="Times New Roman" w:hAnsi="Times New Roman"/>
          <w:szCs w:val="24"/>
          <w:u w:val="single"/>
        </w:rPr>
        <w:t>See</w:t>
      </w:r>
      <w:r>
        <w:rPr>
          <w:rFonts w:ascii="Times New Roman" w:hAnsi="Times New Roman"/>
          <w:szCs w:val="24"/>
        </w:rPr>
        <w:t xml:space="preserve"> </w:t>
      </w:r>
      <w:r>
        <w:rPr>
          <w:rFonts w:ascii="Times New Roman" w:hAnsi="Times New Roman"/>
          <w:color w:val="212121"/>
          <w:szCs w:val="24"/>
          <w:u w:val="single"/>
          <w:bdr w:val="none" w:sz="0" w:space="0" w:color="auto" w:frame="1"/>
          <w14:ligatures w14:val="none"/>
        </w:rPr>
        <w:t>Echeverria v. Est. of Lindner</w:t>
      </w:r>
      <w:r>
        <w:rPr>
          <w:rFonts w:ascii="Times New Roman" w:hAnsi="Times New Roman"/>
          <w:color w:val="000000"/>
          <w:szCs w:val="24"/>
          <w14:ligatures w14:val="none"/>
        </w:rPr>
        <w:t xml:space="preserve">, 7 Misc.3d 1019(A) (Sup. Ct. Nassau </w:t>
      </w:r>
      <w:proofErr w:type="spellStart"/>
      <w:r>
        <w:rPr>
          <w:rFonts w:ascii="Times New Roman" w:hAnsi="Times New Roman"/>
          <w:color w:val="000000"/>
          <w:szCs w:val="24"/>
          <w14:ligatures w14:val="none"/>
        </w:rPr>
        <w:t>Cnty</w:t>
      </w:r>
      <w:proofErr w:type="spellEnd"/>
      <w:r>
        <w:rPr>
          <w:rFonts w:ascii="Times New Roman" w:hAnsi="Times New Roman"/>
          <w:color w:val="000000"/>
          <w:szCs w:val="24"/>
          <w14:ligatures w14:val="none"/>
        </w:rPr>
        <w:t xml:space="preserve">. 2005) (holding that TPLF agreement was not a contingency but a loan subject to vitiation under New York’s usury laws because the strict liability imposed on the defendant by Labor Law § 240(1) made the plaintiff’s recovery a “sure thing”). </w:t>
      </w:r>
      <w:r w:rsidR="007D1FFC">
        <w:rPr>
          <w:rFonts w:ascii="Times New Roman" w:hAnsi="Times New Roman"/>
          <w:szCs w:val="24"/>
          <w:bdr w:val="none" w:sz="0" w:space="0" w:color="auto" w:frame="1"/>
        </w:rPr>
        <w:t xml:space="preserve"> </w:t>
      </w:r>
    </w:p>
    <w:p w14:paraId="107D04AE" w14:textId="7594C490" w:rsidR="00961A2A" w:rsidRDefault="001A1E39" w:rsidP="001A1E39">
      <w:pPr>
        <w:spacing w:line="480" w:lineRule="auto"/>
        <w:ind w:firstLine="720"/>
        <w:contextualSpacing/>
        <w:jc w:val="both"/>
        <w:textAlignment w:val="baseline"/>
        <w:rPr>
          <w:rFonts w:ascii="Times New Roman" w:hAnsi="Times New Roman"/>
          <w:color w:val="000000"/>
          <w:szCs w:val="24"/>
          <w14:ligatures w14:val="none"/>
        </w:rPr>
      </w:pPr>
      <w:r>
        <w:rPr>
          <w:rFonts w:ascii="Times New Roman" w:hAnsi="Times New Roman"/>
          <w:color w:val="000000"/>
          <w:szCs w:val="24"/>
          <w14:ligatures w14:val="none"/>
        </w:rPr>
        <w:t>x.</w:t>
      </w:r>
      <w:r>
        <w:rPr>
          <w:rFonts w:ascii="Times New Roman" w:hAnsi="Times New Roman"/>
          <w:color w:val="000000"/>
          <w:szCs w:val="24"/>
          <w14:ligatures w14:val="none"/>
        </w:rPr>
        <w:tab/>
        <w:t>In New York, TPLF agreements are discoverable in personal injury actions because, as the First Department recently affirmed, they can “</w:t>
      </w:r>
      <w:r w:rsidRPr="00400A7C">
        <w:rPr>
          <w:rFonts w:ascii="Times New Roman" w:hAnsi="Times New Roman"/>
          <w:color w:val="000000"/>
          <w:szCs w:val="24"/>
          <w14:ligatures w14:val="none"/>
        </w:rPr>
        <w:t>reveal a</w:t>
      </w:r>
      <w:r>
        <w:rPr>
          <w:rFonts w:ascii="Times New Roman" w:hAnsi="Times New Roman"/>
          <w:color w:val="000000"/>
          <w:szCs w:val="24"/>
          <w14:ligatures w14:val="none"/>
        </w:rPr>
        <w:t xml:space="preserve"> </w:t>
      </w:r>
      <w:r w:rsidRPr="00400A7C">
        <w:rPr>
          <w:rFonts w:ascii="Times New Roman" w:hAnsi="Times New Roman"/>
          <w:color w:val="000000"/>
          <w:szCs w:val="24"/>
          <w14:ligatures w14:val="none"/>
        </w:rPr>
        <w:t>financial motive for fabricating the accident</w:t>
      </w:r>
      <w:r>
        <w:rPr>
          <w:rFonts w:ascii="Times New Roman" w:hAnsi="Times New Roman"/>
          <w:color w:val="000000"/>
          <w:szCs w:val="24"/>
          <w14:ligatures w14:val="none"/>
        </w:rPr>
        <w:t xml:space="preserve">.” </w:t>
      </w:r>
      <w:r w:rsidRPr="004518B4">
        <w:rPr>
          <w:rFonts w:ascii="Times New Roman" w:hAnsi="Times New Roman"/>
          <w:color w:val="000000"/>
          <w:szCs w:val="24"/>
          <w:u w:val="single"/>
          <w14:ligatures w14:val="none"/>
        </w:rPr>
        <w:t>Lituma v. Liberty Coca-Cola Beverages LLC</w:t>
      </w:r>
      <w:r w:rsidRPr="004518B4">
        <w:rPr>
          <w:rFonts w:ascii="Times New Roman" w:hAnsi="Times New Roman"/>
          <w:color w:val="000000"/>
          <w:szCs w:val="24"/>
          <w14:ligatures w14:val="none"/>
        </w:rPr>
        <w:t>, 2025 N.Y. App. Div. LEXIS 6513, *2</w:t>
      </w:r>
      <w:r>
        <w:rPr>
          <w:rFonts w:ascii="Times New Roman" w:hAnsi="Times New Roman"/>
          <w:color w:val="000000"/>
          <w:szCs w:val="24"/>
          <w14:ligatures w14:val="none"/>
        </w:rPr>
        <w:t xml:space="preserve"> (1st </w:t>
      </w:r>
      <w:proofErr w:type="spellStart"/>
      <w:r>
        <w:rPr>
          <w:rFonts w:ascii="Times New Roman" w:hAnsi="Times New Roman"/>
          <w:color w:val="000000"/>
          <w:szCs w:val="24"/>
          <w14:ligatures w14:val="none"/>
        </w:rPr>
        <w:t>Dep’t</w:t>
      </w:r>
      <w:proofErr w:type="spellEnd"/>
      <w:r>
        <w:rPr>
          <w:rFonts w:ascii="Times New Roman" w:hAnsi="Times New Roman"/>
          <w:color w:val="000000"/>
          <w:szCs w:val="24"/>
          <w14:ligatures w14:val="none"/>
        </w:rPr>
        <w:t xml:space="preserve"> Nov. 20, 2025). </w:t>
      </w:r>
      <w:r w:rsidR="00375CC5">
        <w:rPr>
          <w:rFonts w:ascii="Times New Roman" w:hAnsi="Times New Roman"/>
          <w:color w:val="000000"/>
          <w:szCs w:val="24"/>
          <w14:ligatures w14:val="none"/>
        </w:rPr>
        <w:t>The</w:t>
      </w:r>
      <w:r>
        <w:rPr>
          <w:rFonts w:ascii="Times New Roman" w:hAnsi="Times New Roman"/>
          <w:color w:val="000000"/>
          <w:szCs w:val="24"/>
          <w14:ligatures w14:val="none"/>
        </w:rPr>
        <w:t xml:space="preserve"> </w:t>
      </w:r>
      <w:r w:rsidRPr="009A437F">
        <w:rPr>
          <w:rFonts w:ascii="Times New Roman" w:hAnsi="Times New Roman"/>
          <w:color w:val="000000"/>
          <w:szCs w:val="24"/>
          <w:u w:val="single"/>
          <w14:ligatures w14:val="none"/>
        </w:rPr>
        <w:t>Lituma</w:t>
      </w:r>
      <w:r>
        <w:rPr>
          <w:rFonts w:ascii="Times New Roman" w:hAnsi="Times New Roman"/>
          <w:color w:val="000000"/>
          <w:szCs w:val="24"/>
          <w14:ligatures w14:val="none"/>
        </w:rPr>
        <w:t xml:space="preserve"> court observed that the plaintiffs in that case were related, received medical care from RICO-defendant physicians, and were connected to “other individuals involved in other suspicious accidents.” </w:t>
      </w:r>
      <w:r w:rsidRPr="001975EE">
        <w:rPr>
          <w:rFonts w:ascii="Times New Roman" w:hAnsi="Times New Roman"/>
          <w:color w:val="000000"/>
          <w:szCs w:val="24"/>
          <w:highlight w:val="yellow"/>
          <w14:ligatures w14:val="none"/>
        </w:rPr>
        <w:t>Similar evidence exists on this record</w:t>
      </w:r>
      <w:r w:rsidR="0015296D" w:rsidRPr="001975EE">
        <w:rPr>
          <w:rFonts w:ascii="Times New Roman" w:hAnsi="Times New Roman"/>
          <w:color w:val="000000"/>
          <w:szCs w:val="24"/>
          <w:highlight w:val="yellow"/>
          <w14:ligatures w14:val="none"/>
        </w:rPr>
        <w:t xml:space="preserve"> [INSERT RELEVANT FACTS]</w:t>
      </w:r>
      <w:r w:rsidR="0015296D">
        <w:rPr>
          <w:rFonts w:ascii="Times New Roman" w:hAnsi="Times New Roman"/>
          <w:color w:val="000000"/>
          <w:szCs w:val="24"/>
          <w14:ligatures w14:val="none"/>
        </w:rPr>
        <w:t>.</w:t>
      </w:r>
      <w:r>
        <w:rPr>
          <w:rFonts w:ascii="Times New Roman" w:hAnsi="Times New Roman"/>
          <w:color w:val="000000"/>
          <w:szCs w:val="24"/>
          <w14:ligatures w14:val="none"/>
        </w:rPr>
        <w:t xml:space="preserve"> </w:t>
      </w:r>
    </w:p>
    <w:p w14:paraId="3C25BBBD" w14:textId="373C00CF" w:rsidR="001A1E39" w:rsidRDefault="00961A2A" w:rsidP="001A1E39">
      <w:pPr>
        <w:spacing w:line="480" w:lineRule="auto"/>
        <w:ind w:firstLine="720"/>
        <w:contextualSpacing/>
        <w:jc w:val="both"/>
        <w:textAlignment w:val="baseline"/>
        <w:rPr>
          <w:rFonts w:ascii="Times New Roman" w:hAnsi="Times New Roman"/>
          <w:color w:val="000000"/>
          <w:szCs w:val="24"/>
          <w14:ligatures w14:val="none"/>
        </w:rPr>
      </w:pPr>
      <w:r>
        <w:rPr>
          <w:rFonts w:ascii="Times New Roman" w:hAnsi="Times New Roman"/>
          <w:color w:val="000000"/>
          <w:szCs w:val="24"/>
          <w14:ligatures w14:val="none"/>
        </w:rPr>
        <w:t>x.</w:t>
      </w:r>
      <w:r>
        <w:rPr>
          <w:rFonts w:ascii="Times New Roman" w:hAnsi="Times New Roman"/>
          <w:color w:val="000000"/>
          <w:szCs w:val="24"/>
          <w14:ligatures w14:val="none"/>
        </w:rPr>
        <w:tab/>
      </w:r>
      <w:r w:rsidR="00AB7710">
        <w:rPr>
          <w:rFonts w:ascii="Times New Roman" w:hAnsi="Times New Roman"/>
          <w:color w:val="000000"/>
          <w:szCs w:val="24"/>
          <w14:ligatures w14:val="none"/>
        </w:rPr>
        <w:t>Accordingly</w:t>
      </w:r>
      <w:r w:rsidR="0015296D">
        <w:rPr>
          <w:rFonts w:ascii="Times New Roman" w:hAnsi="Times New Roman"/>
          <w:color w:val="000000"/>
          <w:szCs w:val="24"/>
          <w14:ligatures w14:val="none"/>
        </w:rPr>
        <w:t>, p</w:t>
      </w:r>
      <w:r w:rsidR="001A1E39">
        <w:rPr>
          <w:rFonts w:ascii="Times New Roman" w:hAnsi="Times New Roman"/>
          <w:color w:val="000000"/>
          <w:szCs w:val="24"/>
          <w14:ligatures w14:val="none"/>
        </w:rPr>
        <w:t xml:space="preserve">laintiff’s TPLF documents and related information “could reveal a financial motive to fabricate the accident” and/or his medical treatment. </w:t>
      </w:r>
      <w:r w:rsidR="001A1E39" w:rsidRPr="000D6935">
        <w:rPr>
          <w:rFonts w:ascii="Times New Roman" w:hAnsi="Times New Roman"/>
          <w:color w:val="000000"/>
          <w:szCs w:val="24"/>
          <w:u w:val="single"/>
          <w14:ligatures w14:val="none"/>
        </w:rPr>
        <w:t>Lituma</w:t>
      </w:r>
      <w:r w:rsidR="001A1E39">
        <w:rPr>
          <w:rFonts w:ascii="Times New Roman" w:hAnsi="Times New Roman"/>
          <w:color w:val="000000"/>
          <w:szCs w:val="24"/>
          <w14:ligatures w14:val="none"/>
        </w:rPr>
        <w:t xml:space="preserve">, </w:t>
      </w:r>
      <w:r w:rsidR="001A1E39" w:rsidRPr="000D6935">
        <w:rPr>
          <w:rFonts w:ascii="Times New Roman" w:hAnsi="Times New Roman"/>
          <w:color w:val="000000"/>
          <w:szCs w:val="24"/>
          <w:u w:val="single"/>
          <w14:ligatures w14:val="none"/>
        </w:rPr>
        <w:t>supra</w:t>
      </w:r>
      <w:r w:rsidR="001A1E39">
        <w:rPr>
          <w:rFonts w:ascii="Times New Roman" w:hAnsi="Times New Roman"/>
          <w:color w:val="000000"/>
          <w:szCs w:val="24"/>
          <w14:ligatures w14:val="none"/>
        </w:rPr>
        <w:t>.</w:t>
      </w:r>
    </w:p>
    <w:p w14:paraId="28400CBE" w14:textId="1B81CC20" w:rsidR="007D1FFC" w:rsidRDefault="001A1E39" w:rsidP="007D1FFC">
      <w:pPr>
        <w:spacing w:line="480" w:lineRule="auto"/>
        <w:ind w:firstLine="720"/>
        <w:contextualSpacing/>
        <w:jc w:val="both"/>
        <w:textAlignment w:val="baseline"/>
        <w:rPr>
          <w:rFonts w:ascii="Times New Roman" w:hAnsi="Times New Roman"/>
          <w:color w:val="000000"/>
          <w:szCs w:val="24"/>
          <w14:ligatures w14:val="none"/>
        </w:rPr>
      </w:pPr>
      <w:r>
        <w:rPr>
          <w:rFonts w:ascii="Times New Roman" w:hAnsi="Times New Roman"/>
          <w:color w:val="000000"/>
          <w:szCs w:val="24"/>
          <w14:ligatures w14:val="none"/>
        </w:rPr>
        <w:t>x.</w:t>
      </w:r>
      <w:r w:rsidR="007D1FFC">
        <w:rPr>
          <w:rFonts w:ascii="Times New Roman" w:hAnsi="Times New Roman"/>
          <w:color w:val="000000"/>
          <w:szCs w:val="24"/>
          <w14:ligatures w14:val="none"/>
        </w:rPr>
        <w:tab/>
      </w:r>
      <w:r w:rsidR="00043172">
        <w:rPr>
          <w:rFonts w:ascii="Times New Roman" w:hAnsi="Times New Roman"/>
          <w:color w:val="000000"/>
          <w:szCs w:val="24"/>
          <w14:ligatures w14:val="none"/>
        </w:rPr>
        <w:t>O</w:t>
      </w:r>
      <w:r w:rsidR="007D1FFC">
        <w:rPr>
          <w:rFonts w:ascii="Times New Roman" w:hAnsi="Times New Roman"/>
          <w:szCs w:val="24"/>
          <w:bdr w:val="none" w:sz="0" w:space="0" w:color="auto" w:frame="1"/>
        </w:rPr>
        <w:t xml:space="preserve">pponents of TPLF discovery have unanimously objected that such information is irrelevant and therefore undiscoverable under CPLR 3101(a). Putting aside their deliberate misreading (the statute nowhere mentions relevance as a prerequisite to discovery), TPLF information </w:t>
      </w:r>
      <w:r w:rsidR="007D1FFC" w:rsidRPr="00833069">
        <w:rPr>
          <w:rFonts w:ascii="Times New Roman" w:hAnsi="Times New Roman"/>
          <w:i/>
          <w:iCs/>
          <w:szCs w:val="24"/>
          <w:bdr w:val="none" w:sz="0" w:space="0" w:color="auto" w:frame="1"/>
        </w:rPr>
        <w:t>is</w:t>
      </w:r>
      <w:r w:rsidR="007D1FFC">
        <w:rPr>
          <w:rFonts w:ascii="Times New Roman" w:hAnsi="Times New Roman"/>
          <w:szCs w:val="24"/>
          <w:bdr w:val="none" w:sz="0" w:space="0" w:color="auto" w:frame="1"/>
        </w:rPr>
        <w:t xml:space="preserve"> relevant and, accordingly, meets the unduly exacting standard that the anti-discovery lobby selectively applies to this material.</w:t>
      </w:r>
    </w:p>
    <w:p w14:paraId="0EA01A14" w14:textId="45980609" w:rsidR="001A1E39" w:rsidRDefault="00E82ACA" w:rsidP="007D1FFC">
      <w:pPr>
        <w:spacing w:line="480" w:lineRule="auto"/>
        <w:ind w:firstLine="720"/>
        <w:contextualSpacing/>
        <w:jc w:val="both"/>
        <w:textAlignment w:val="baseline"/>
        <w:rPr>
          <w:rFonts w:ascii="Times New Roman" w:hAnsi="Times New Roman"/>
          <w:color w:val="000000"/>
          <w:szCs w:val="24"/>
          <w14:ligatures w14:val="none"/>
        </w:rPr>
      </w:pPr>
      <w:r>
        <w:rPr>
          <w:rFonts w:ascii="Times New Roman" w:hAnsi="Times New Roman"/>
          <w:color w:val="000000"/>
          <w:szCs w:val="24"/>
          <w14:ligatures w14:val="none"/>
        </w:rPr>
        <w:t>x.</w:t>
      </w:r>
      <w:r>
        <w:rPr>
          <w:rFonts w:ascii="Times New Roman" w:hAnsi="Times New Roman"/>
          <w:color w:val="000000"/>
          <w:szCs w:val="24"/>
          <w14:ligatures w14:val="none"/>
        </w:rPr>
        <w:tab/>
      </w:r>
      <w:r w:rsidR="002F55FE">
        <w:rPr>
          <w:rFonts w:ascii="Times New Roman" w:hAnsi="Times New Roman"/>
          <w:color w:val="000000"/>
          <w:szCs w:val="24"/>
          <w14:ligatures w14:val="none"/>
        </w:rPr>
        <w:t>Beyond revealing a</w:t>
      </w:r>
      <w:r w:rsidR="00092B9F">
        <w:rPr>
          <w:rFonts w:ascii="Times New Roman" w:hAnsi="Times New Roman"/>
          <w:color w:val="000000"/>
          <w:szCs w:val="24"/>
          <w14:ligatures w14:val="none"/>
        </w:rPr>
        <w:t>n</w:t>
      </w:r>
      <w:r w:rsidR="002F55FE">
        <w:rPr>
          <w:rFonts w:ascii="Times New Roman" w:hAnsi="Times New Roman"/>
          <w:color w:val="000000"/>
          <w:szCs w:val="24"/>
          <w14:ligatures w14:val="none"/>
        </w:rPr>
        <w:t xml:space="preserve"> incentive to fabricate an accident, </w:t>
      </w:r>
      <w:r w:rsidR="009E1B09">
        <w:rPr>
          <w:rFonts w:ascii="Times New Roman" w:hAnsi="Times New Roman"/>
          <w:color w:val="000000"/>
          <w:szCs w:val="24"/>
          <w14:ligatures w14:val="none"/>
        </w:rPr>
        <w:t xml:space="preserve">TPLF </w:t>
      </w:r>
      <w:proofErr w:type="gramStart"/>
      <w:r w:rsidR="009E1B09">
        <w:rPr>
          <w:rFonts w:ascii="Times New Roman" w:hAnsi="Times New Roman"/>
          <w:color w:val="000000"/>
          <w:szCs w:val="24"/>
          <w14:ligatures w14:val="none"/>
        </w:rPr>
        <w:t>bears on</w:t>
      </w:r>
      <w:proofErr w:type="gramEnd"/>
      <w:r w:rsidR="009E1B09">
        <w:rPr>
          <w:rFonts w:ascii="Times New Roman" w:hAnsi="Times New Roman"/>
          <w:color w:val="000000"/>
          <w:szCs w:val="24"/>
          <w14:ligatures w14:val="none"/>
        </w:rPr>
        <w:t xml:space="preserve"> the parties’ claims</w:t>
      </w:r>
      <w:r w:rsidR="002F55FE">
        <w:rPr>
          <w:rFonts w:ascii="Times New Roman" w:hAnsi="Times New Roman"/>
          <w:color w:val="000000"/>
          <w:szCs w:val="24"/>
          <w14:ligatures w14:val="none"/>
        </w:rPr>
        <w:t xml:space="preserve">. </w:t>
      </w:r>
      <w:r w:rsidR="001A1E39">
        <w:rPr>
          <w:rFonts w:ascii="Times New Roman" w:hAnsi="Times New Roman"/>
          <w:color w:val="000000"/>
          <w:szCs w:val="24"/>
          <w14:ligatures w14:val="none"/>
        </w:rPr>
        <w:t>First, it is self-evident that because its revenue depends on plaintiff’s recovery, the</w:t>
      </w:r>
      <w:r w:rsidR="008D7242">
        <w:rPr>
          <w:rFonts w:ascii="Times New Roman" w:hAnsi="Times New Roman"/>
          <w:color w:val="000000"/>
          <w:szCs w:val="24"/>
          <w14:ligatures w14:val="none"/>
        </w:rPr>
        <w:t xml:space="preserve"> litigation</w:t>
      </w:r>
      <w:r w:rsidR="001A1E39">
        <w:rPr>
          <w:rFonts w:ascii="Times New Roman" w:hAnsi="Times New Roman"/>
          <w:color w:val="000000"/>
          <w:szCs w:val="24"/>
          <w14:ligatures w14:val="none"/>
        </w:rPr>
        <w:t xml:space="preserve"> funder has a direct interest in the merits of plaintiff’s suit. A </w:t>
      </w:r>
      <w:proofErr w:type="gramStart"/>
      <w:r w:rsidR="001A1E39">
        <w:rPr>
          <w:rFonts w:ascii="Times New Roman" w:hAnsi="Times New Roman"/>
          <w:color w:val="000000"/>
          <w:szCs w:val="24"/>
          <w14:ligatures w14:val="none"/>
        </w:rPr>
        <w:t>funder</w:t>
      </w:r>
      <w:proofErr w:type="gramEnd"/>
      <w:r w:rsidR="001A1E39">
        <w:rPr>
          <w:rFonts w:ascii="Times New Roman" w:hAnsi="Times New Roman"/>
          <w:color w:val="000000"/>
          <w:szCs w:val="24"/>
          <w14:ligatures w14:val="none"/>
        </w:rPr>
        <w:t xml:space="preserve"> must therefore evaluate both the probability and magnitude of a plaintiff’s recovery to assess the profitability of its investment. It stands to reason that the funder would do this by inquiring as to the nature of the plaintiff’s claim, specifically by asking the plaintiff (or his attorney) about his accident and damages – just as an attorney investigates these subjects when consulting a prospective client. The crucial difference, of course, is that a funder is not an attorney and, consequently, no attorney-client privilege exists to shield a plaintiff’s conversation with a TPLF company from discovery. </w:t>
      </w:r>
      <w:r w:rsidR="001A1E39" w:rsidRPr="001C4445">
        <w:rPr>
          <w:rFonts w:ascii="Times New Roman" w:hAnsi="Times New Roman"/>
          <w:color w:val="000000"/>
          <w:szCs w:val="24"/>
          <w:u w:val="single"/>
          <w14:ligatures w14:val="none"/>
        </w:rPr>
        <w:t>See</w:t>
      </w:r>
      <w:r w:rsidR="001A1E39">
        <w:rPr>
          <w:rFonts w:ascii="Times New Roman" w:hAnsi="Times New Roman"/>
          <w:color w:val="000000"/>
          <w:szCs w:val="24"/>
          <w14:ligatures w14:val="none"/>
        </w:rPr>
        <w:t xml:space="preserve"> </w:t>
      </w:r>
      <w:r w:rsidR="001A1E39" w:rsidRPr="00EB1EAA">
        <w:rPr>
          <w:rFonts w:ascii="Times New Roman" w:hAnsi="Times New Roman"/>
          <w:szCs w:val="24"/>
          <w:u w:val="single"/>
        </w:rPr>
        <w:t>ROAM Capital, Inc. v. Asia Alternatives Mgt. LLC</w:t>
      </w:r>
      <w:r w:rsidR="001A1E39">
        <w:rPr>
          <w:rFonts w:ascii="Times New Roman" w:hAnsi="Times New Roman"/>
          <w:szCs w:val="24"/>
        </w:rPr>
        <w:t xml:space="preserve">, 235 A.D.3d 457 (1st </w:t>
      </w:r>
      <w:proofErr w:type="spellStart"/>
      <w:r w:rsidR="001A1E39">
        <w:rPr>
          <w:rFonts w:ascii="Times New Roman" w:hAnsi="Times New Roman"/>
          <w:szCs w:val="24"/>
        </w:rPr>
        <w:t>Dep’t</w:t>
      </w:r>
      <w:proofErr w:type="spellEnd"/>
      <w:r w:rsidR="001A1E39">
        <w:rPr>
          <w:rFonts w:ascii="Times New Roman" w:hAnsi="Times New Roman"/>
          <w:szCs w:val="24"/>
        </w:rPr>
        <w:t xml:space="preserve"> 2025)</w:t>
      </w:r>
      <w:r w:rsidR="001A1E39">
        <w:rPr>
          <w:rFonts w:ascii="Times New Roman" w:hAnsi="Times New Roman"/>
          <w:color w:val="000000"/>
          <w:szCs w:val="24"/>
          <w14:ligatures w14:val="none"/>
        </w:rPr>
        <w:t xml:space="preserve">. Thus, documents memorializing any such conversation are discoverable – they are analogous to a plaintiff’s recounting of an accident to hospital personnel that is contemporaneously recorded in an emergency room record. There is no bona fide dispute that defendants are entitled to such material in personal injury actions. </w:t>
      </w:r>
    </w:p>
    <w:p w14:paraId="2F1531A1" w14:textId="77777777" w:rsidR="001A1E39" w:rsidRDefault="001A1E39" w:rsidP="001A1E39">
      <w:pPr>
        <w:spacing w:line="480" w:lineRule="auto"/>
        <w:ind w:firstLine="720"/>
        <w:contextualSpacing/>
        <w:jc w:val="both"/>
        <w:textAlignment w:val="baseline"/>
        <w:rPr>
          <w:rFonts w:ascii="Times New Roman" w:hAnsi="Times New Roman"/>
          <w:color w:val="000000"/>
          <w:szCs w:val="24"/>
          <w14:ligatures w14:val="none"/>
        </w:rPr>
      </w:pPr>
      <w:r>
        <w:rPr>
          <w:rFonts w:ascii="Times New Roman" w:hAnsi="Times New Roman"/>
          <w:color w:val="000000"/>
          <w:szCs w:val="24"/>
          <w14:ligatures w14:val="none"/>
        </w:rPr>
        <w:t>x.</w:t>
      </w:r>
      <w:r>
        <w:rPr>
          <w:rFonts w:ascii="Times New Roman" w:hAnsi="Times New Roman"/>
          <w:color w:val="000000"/>
          <w:szCs w:val="24"/>
          <w14:ligatures w14:val="none"/>
        </w:rPr>
        <w:tab/>
        <w:t xml:space="preserve">Second, the agreement itself is discoverable because it is probative of plaintiff’s financial means, which are relevant to his ability to mitigate damages. </w:t>
      </w:r>
      <w:r w:rsidRPr="00AC412B">
        <w:rPr>
          <w:rFonts w:ascii="Times New Roman" w:hAnsi="Times New Roman"/>
          <w:color w:val="000000"/>
          <w:szCs w:val="24"/>
          <w14:ligatures w14:val="none"/>
        </w:rPr>
        <w:t xml:space="preserve">A plaintiff with a lost earnings claim has a duty to mitigate by seeking vocational rehabilitation. </w:t>
      </w:r>
      <w:r w:rsidRPr="00533341">
        <w:rPr>
          <w:rFonts w:ascii="Times New Roman" w:hAnsi="Times New Roman"/>
          <w:color w:val="000000"/>
          <w:szCs w:val="24"/>
          <w:u w:val="single"/>
          <w14:ligatures w14:val="none"/>
        </w:rPr>
        <w:t xml:space="preserve">Bell v. </w:t>
      </w:r>
      <w:proofErr w:type="spellStart"/>
      <w:r w:rsidRPr="00533341">
        <w:rPr>
          <w:rFonts w:ascii="Times New Roman" w:hAnsi="Times New Roman"/>
          <w:color w:val="000000"/>
          <w:szCs w:val="24"/>
          <w:u w:val="single"/>
          <w14:ligatures w14:val="none"/>
        </w:rPr>
        <w:t>Shopwell</w:t>
      </w:r>
      <w:proofErr w:type="spellEnd"/>
      <w:r w:rsidRPr="00533341">
        <w:rPr>
          <w:rFonts w:ascii="Times New Roman" w:hAnsi="Times New Roman"/>
          <w:color w:val="000000"/>
          <w:szCs w:val="24"/>
          <w:u w:val="single"/>
          <w14:ligatures w14:val="none"/>
        </w:rPr>
        <w:t>, Inc.</w:t>
      </w:r>
      <w:r w:rsidRPr="00AC412B">
        <w:rPr>
          <w:rFonts w:ascii="Times New Roman" w:hAnsi="Times New Roman"/>
          <w:color w:val="000000"/>
          <w:szCs w:val="24"/>
          <w14:ligatures w14:val="none"/>
        </w:rPr>
        <w:t xml:space="preserve">, 119 A.D.2d 715 (2d </w:t>
      </w:r>
      <w:proofErr w:type="spellStart"/>
      <w:r w:rsidRPr="00AC412B">
        <w:rPr>
          <w:rFonts w:ascii="Times New Roman" w:hAnsi="Times New Roman"/>
          <w:color w:val="000000"/>
          <w:szCs w:val="24"/>
          <w14:ligatures w14:val="none"/>
        </w:rPr>
        <w:t>Dep’t</w:t>
      </w:r>
      <w:proofErr w:type="spellEnd"/>
      <w:r w:rsidRPr="00AC412B">
        <w:rPr>
          <w:rFonts w:ascii="Times New Roman" w:hAnsi="Times New Roman"/>
          <w:color w:val="000000"/>
          <w:szCs w:val="24"/>
          <w14:ligatures w14:val="none"/>
        </w:rPr>
        <w:t xml:space="preserve"> 1986). It is defendant’s burden to prove that plaintiff has failed to make such efforts. </w:t>
      </w:r>
      <w:r w:rsidRPr="00533341">
        <w:rPr>
          <w:rFonts w:ascii="Times New Roman" w:hAnsi="Times New Roman"/>
          <w:color w:val="000000"/>
          <w:szCs w:val="24"/>
          <w:u w:val="single"/>
          <w14:ligatures w14:val="none"/>
        </w:rPr>
        <w:t>Cornell v. T. V. Development Corp.</w:t>
      </w:r>
      <w:r w:rsidRPr="00AC412B">
        <w:rPr>
          <w:rFonts w:ascii="Times New Roman" w:hAnsi="Times New Roman"/>
          <w:color w:val="000000"/>
          <w:szCs w:val="24"/>
          <w14:ligatures w14:val="none"/>
        </w:rPr>
        <w:t xml:space="preserve">, 17 N.Y.2d 69 (1966). As such, defendants are free to probe why a plaintiff failed to take certain steps to mitigate damages. </w:t>
      </w:r>
      <w:r w:rsidRPr="00533341">
        <w:rPr>
          <w:rFonts w:ascii="Times New Roman" w:hAnsi="Times New Roman"/>
          <w:color w:val="000000"/>
          <w:szCs w:val="24"/>
          <w:u w:val="single"/>
          <w14:ligatures w14:val="none"/>
        </w:rPr>
        <w:t xml:space="preserve">Ornstein v. New York City Health &amp; </w:t>
      </w:r>
      <w:proofErr w:type="spellStart"/>
      <w:r w:rsidRPr="00533341">
        <w:rPr>
          <w:rFonts w:ascii="Times New Roman" w:hAnsi="Times New Roman"/>
          <w:color w:val="000000"/>
          <w:szCs w:val="24"/>
          <w:u w:val="single"/>
          <w14:ligatures w14:val="none"/>
        </w:rPr>
        <w:t>Hosps</w:t>
      </w:r>
      <w:proofErr w:type="spellEnd"/>
      <w:r w:rsidRPr="00533341">
        <w:rPr>
          <w:rFonts w:ascii="Times New Roman" w:hAnsi="Times New Roman"/>
          <w:color w:val="000000"/>
          <w:szCs w:val="24"/>
          <w:u w:val="single"/>
          <w14:ligatures w14:val="none"/>
        </w:rPr>
        <w:t>. Corp.</w:t>
      </w:r>
      <w:r w:rsidRPr="00AC412B">
        <w:rPr>
          <w:rFonts w:ascii="Times New Roman" w:hAnsi="Times New Roman"/>
          <w:color w:val="000000"/>
          <w:szCs w:val="24"/>
          <w14:ligatures w14:val="none"/>
        </w:rPr>
        <w:t xml:space="preserve">, 10 N.Y.3d 1 (2008). </w:t>
      </w:r>
      <w:r>
        <w:rPr>
          <w:rFonts w:ascii="Times New Roman" w:hAnsi="Times New Roman"/>
          <w:color w:val="000000"/>
          <w:szCs w:val="24"/>
          <w14:ligatures w14:val="none"/>
        </w:rPr>
        <w:t>P</w:t>
      </w:r>
      <w:r w:rsidRPr="00AC412B">
        <w:rPr>
          <w:rFonts w:ascii="Times New Roman" w:hAnsi="Times New Roman"/>
          <w:color w:val="000000"/>
          <w:szCs w:val="24"/>
          <w14:ligatures w14:val="none"/>
        </w:rPr>
        <w:t>laintiff</w:t>
      </w:r>
      <w:r>
        <w:rPr>
          <w:rFonts w:ascii="Times New Roman" w:hAnsi="Times New Roman"/>
          <w:color w:val="000000"/>
          <w:szCs w:val="24"/>
          <w14:ligatures w14:val="none"/>
        </w:rPr>
        <w:t>’s</w:t>
      </w:r>
      <w:r w:rsidRPr="00AC412B">
        <w:rPr>
          <w:rFonts w:ascii="Times New Roman" w:hAnsi="Times New Roman"/>
          <w:color w:val="000000"/>
          <w:szCs w:val="24"/>
          <w14:ligatures w14:val="none"/>
        </w:rPr>
        <w:t xml:space="preserve"> finances are</w:t>
      </w:r>
      <w:r>
        <w:rPr>
          <w:rFonts w:ascii="Times New Roman" w:hAnsi="Times New Roman"/>
          <w:color w:val="000000"/>
          <w:szCs w:val="24"/>
          <w14:ligatures w14:val="none"/>
        </w:rPr>
        <w:t xml:space="preserve"> thus</w:t>
      </w:r>
      <w:r w:rsidRPr="00AC412B">
        <w:rPr>
          <w:rFonts w:ascii="Times New Roman" w:hAnsi="Times New Roman"/>
          <w:color w:val="000000"/>
          <w:szCs w:val="24"/>
          <w14:ligatures w14:val="none"/>
        </w:rPr>
        <w:t xml:space="preserve"> relevant to </w:t>
      </w:r>
      <w:r>
        <w:rPr>
          <w:rFonts w:ascii="Times New Roman" w:hAnsi="Times New Roman"/>
          <w:color w:val="000000"/>
          <w:szCs w:val="24"/>
          <w14:ligatures w14:val="none"/>
        </w:rPr>
        <w:t>his</w:t>
      </w:r>
      <w:r>
        <w:t xml:space="preserve"> </w:t>
      </w:r>
      <w:r w:rsidRPr="00AC412B">
        <w:rPr>
          <w:rFonts w:ascii="Times New Roman" w:hAnsi="Times New Roman"/>
          <w:color w:val="000000"/>
          <w:szCs w:val="24"/>
          <w14:ligatures w14:val="none"/>
        </w:rPr>
        <w:t>mitigation efforts</w:t>
      </w:r>
      <w:r>
        <w:rPr>
          <w:rFonts w:ascii="Times New Roman" w:hAnsi="Times New Roman"/>
          <w:color w:val="000000"/>
          <w:szCs w:val="24"/>
          <w14:ligatures w14:val="none"/>
        </w:rPr>
        <w:t>, which makes d</w:t>
      </w:r>
      <w:r w:rsidRPr="00AC412B">
        <w:rPr>
          <w:rFonts w:ascii="Times New Roman" w:hAnsi="Times New Roman"/>
          <w:color w:val="000000"/>
          <w:szCs w:val="24"/>
          <w14:ligatures w14:val="none"/>
        </w:rPr>
        <w:t xml:space="preserve">iscovery of TPLF information material and necessary to advancing </w:t>
      </w:r>
      <w:r>
        <w:rPr>
          <w:rFonts w:ascii="Times New Roman" w:hAnsi="Times New Roman"/>
          <w:color w:val="000000"/>
          <w:szCs w:val="24"/>
          <w14:ligatures w14:val="none"/>
        </w:rPr>
        <w:t>a defense that plaintiff did not make such reasonable efforts.</w:t>
      </w:r>
    </w:p>
    <w:p w14:paraId="5B1DC873" w14:textId="77777777" w:rsidR="001A1E39" w:rsidRDefault="001A1E39" w:rsidP="001A1E39">
      <w:pPr>
        <w:spacing w:line="480" w:lineRule="auto"/>
        <w:ind w:firstLine="720"/>
        <w:contextualSpacing/>
        <w:jc w:val="both"/>
        <w:textAlignment w:val="baseline"/>
        <w:rPr>
          <w:rFonts w:ascii="Times New Roman" w:hAnsi="Times New Roman"/>
          <w:color w:val="000000"/>
          <w:szCs w:val="24"/>
          <w14:ligatures w14:val="none"/>
        </w:rPr>
      </w:pPr>
      <w:r>
        <w:rPr>
          <w:rFonts w:ascii="Times New Roman" w:hAnsi="Times New Roman"/>
          <w:color w:val="000000"/>
          <w:szCs w:val="24"/>
          <w14:ligatures w14:val="none"/>
        </w:rPr>
        <w:t>x.</w:t>
      </w:r>
      <w:r>
        <w:rPr>
          <w:rFonts w:ascii="Times New Roman" w:hAnsi="Times New Roman"/>
          <w:color w:val="000000"/>
          <w:szCs w:val="24"/>
          <w14:ligatures w14:val="none"/>
        </w:rPr>
        <w:tab/>
        <w:t xml:space="preserve">Similarly, </w:t>
      </w:r>
      <w:r w:rsidRPr="00AC412B">
        <w:rPr>
          <w:rFonts w:ascii="Times New Roman" w:hAnsi="Times New Roman"/>
          <w:color w:val="000000"/>
          <w:szCs w:val="24"/>
          <w14:ligatures w14:val="none"/>
        </w:rPr>
        <w:t xml:space="preserve">TPLF information is relevant where </w:t>
      </w:r>
      <w:r>
        <w:rPr>
          <w:rFonts w:ascii="Times New Roman" w:hAnsi="Times New Roman"/>
          <w:color w:val="000000"/>
          <w:szCs w:val="24"/>
          <w14:ligatures w14:val="none"/>
        </w:rPr>
        <w:t xml:space="preserve">a </w:t>
      </w:r>
      <w:r w:rsidRPr="00AC412B">
        <w:rPr>
          <w:rFonts w:ascii="Times New Roman" w:hAnsi="Times New Roman"/>
          <w:color w:val="000000"/>
          <w:szCs w:val="24"/>
          <w14:ligatures w14:val="none"/>
        </w:rPr>
        <w:t xml:space="preserve">plaintiff </w:t>
      </w:r>
      <w:r>
        <w:rPr>
          <w:rFonts w:ascii="Times New Roman" w:hAnsi="Times New Roman"/>
          <w:color w:val="000000"/>
          <w:szCs w:val="24"/>
          <w14:ligatures w14:val="none"/>
        </w:rPr>
        <w:t>asserts</w:t>
      </w:r>
      <w:r w:rsidRPr="00AC412B">
        <w:rPr>
          <w:rFonts w:ascii="Times New Roman" w:hAnsi="Times New Roman"/>
          <w:color w:val="000000"/>
          <w:szCs w:val="24"/>
          <w14:ligatures w14:val="none"/>
        </w:rPr>
        <w:t xml:space="preserve"> the need for medical treatment but claim</w:t>
      </w:r>
      <w:r>
        <w:rPr>
          <w:rFonts w:ascii="Times New Roman" w:hAnsi="Times New Roman"/>
          <w:color w:val="000000"/>
          <w:szCs w:val="24"/>
          <w14:ligatures w14:val="none"/>
        </w:rPr>
        <w:t>s a financial inability to obtain</w:t>
      </w:r>
      <w:r w:rsidRPr="00AC412B">
        <w:rPr>
          <w:rFonts w:ascii="Times New Roman" w:hAnsi="Times New Roman"/>
          <w:color w:val="000000"/>
          <w:szCs w:val="24"/>
          <w14:ligatures w14:val="none"/>
        </w:rPr>
        <w:t xml:space="preserve"> it. </w:t>
      </w:r>
      <w:r>
        <w:rPr>
          <w:rFonts w:ascii="Times New Roman" w:hAnsi="Times New Roman"/>
          <w:color w:val="000000"/>
          <w:szCs w:val="24"/>
          <w14:ligatures w14:val="none"/>
        </w:rPr>
        <w:t>As above</w:t>
      </w:r>
      <w:r w:rsidRPr="00AC412B">
        <w:rPr>
          <w:rFonts w:ascii="Times New Roman" w:hAnsi="Times New Roman"/>
          <w:color w:val="000000"/>
          <w:szCs w:val="24"/>
          <w14:ligatures w14:val="none"/>
        </w:rPr>
        <w:t xml:space="preserve">, a plaintiff makes his access to funds relevant to a disputed issue when he says that, but for a lack of funds, he would undergo medical treatment. It is no different than </w:t>
      </w:r>
      <w:r>
        <w:rPr>
          <w:rFonts w:ascii="Times New Roman" w:hAnsi="Times New Roman"/>
          <w:color w:val="000000"/>
          <w:szCs w:val="24"/>
          <w14:ligatures w14:val="none"/>
        </w:rPr>
        <w:t>i</w:t>
      </w:r>
      <w:r w:rsidRPr="00AC412B">
        <w:rPr>
          <w:rFonts w:ascii="Times New Roman" w:hAnsi="Times New Roman"/>
          <w:color w:val="000000"/>
          <w:szCs w:val="24"/>
          <w14:ligatures w14:val="none"/>
        </w:rPr>
        <w:t>nquiring why a plaintiff who claims a permanent serious injury has ceased treatment for it</w:t>
      </w:r>
      <w:r>
        <w:rPr>
          <w:rFonts w:ascii="Times New Roman" w:hAnsi="Times New Roman"/>
          <w:color w:val="000000"/>
          <w:szCs w:val="24"/>
          <w14:ligatures w14:val="none"/>
        </w:rPr>
        <w:t xml:space="preserve">, </w:t>
      </w:r>
      <w:r w:rsidRPr="00AC412B">
        <w:rPr>
          <w:rFonts w:ascii="Times New Roman" w:hAnsi="Times New Roman"/>
          <w:color w:val="000000"/>
          <w:szCs w:val="24"/>
          <w14:ligatures w14:val="none"/>
        </w:rPr>
        <w:t xml:space="preserve">which is permitted. </w:t>
      </w:r>
      <w:r w:rsidRPr="009B2E4F">
        <w:rPr>
          <w:rFonts w:ascii="Times New Roman" w:hAnsi="Times New Roman"/>
          <w:color w:val="000000"/>
          <w:szCs w:val="24"/>
          <w:u w:val="single"/>
          <w14:ligatures w14:val="none"/>
        </w:rPr>
        <w:t>See</w:t>
      </w:r>
      <w:r w:rsidRPr="00AC412B">
        <w:rPr>
          <w:rFonts w:ascii="Times New Roman" w:hAnsi="Times New Roman"/>
          <w:color w:val="000000"/>
          <w:szCs w:val="24"/>
          <w14:ligatures w14:val="none"/>
        </w:rPr>
        <w:t xml:space="preserve"> </w:t>
      </w:r>
      <w:r w:rsidRPr="009B2E4F">
        <w:rPr>
          <w:rFonts w:ascii="Times New Roman" w:hAnsi="Times New Roman"/>
          <w:color w:val="000000"/>
          <w:szCs w:val="24"/>
          <w:u w:val="single"/>
          <w14:ligatures w14:val="none"/>
        </w:rPr>
        <w:t>Pommells v. Perez</w:t>
      </w:r>
      <w:r w:rsidRPr="00AC412B">
        <w:rPr>
          <w:rFonts w:ascii="Times New Roman" w:hAnsi="Times New Roman"/>
          <w:color w:val="000000"/>
          <w:szCs w:val="24"/>
          <w14:ligatures w14:val="none"/>
        </w:rPr>
        <w:t>, 4 N.Y.3d 566 (2005). Courts have held that</w:t>
      </w:r>
      <w:r>
        <w:rPr>
          <w:rFonts w:ascii="Times New Roman" w:hAnsi="Times New Roman"/>
          <w:color w:val="000000"/>
          <w:szCs w:val="24"/>
          <w14:ligatures w14:val="none"/>
        </w:rPr>
        <w:t xml:space="preserve"> unaffordability</w:t>
      </w:r>
      <w:r w:rsidRPr="00AC412B">
        <w:rPr>
          <w:rFonts w:ascii="Times New Roman" w:hAnsi="Times New Roman"/>
          <w:color w:val="000000"/>
          <w:szCs w:val="24"/>
          <w14:ligatures w14:val="none"/>
        </w:rPr>
        <w:t xml:space="preserve"> is a reasonable explanation for </w:t>
      </w:r>
      <w:r>
        <w:rPr>
          <w:rFonts w:ascii="Times New Roman" w:hAnsi="Times New Roman"/>
          <w:color w:val="000000"/>
          <w:szCs w:val="24"/>
          <w14:ligatures w14:val="none"/>
        </w:rPr>
        <w:t>c</w:t>
      </w:r>
      <w:r w:rsidRPr="00AC412B">
        <w:rPr>
          <w:rFonts w:ascii="Times New Roman" w:hAnsi="Times New Roman"/>
          <w:color w:val="000000"/>
          <w:szCs w:val="24"/>
          <w14:ligatures w14:val="none"/>
        </w:rPr>
        <w:t xml:space="preserve">easing treatment. </w:t>
      </w:r>
      <w:r w:rsidRPr="009B2E4F">
        <w:rPr>
          <w:rFonts w:ascii="Times New Roman" w:hAnsi="Times New Roman"/>
          <w:color w:val="000000"/>
          <w:szCs w:val="24"/>
          <w:u w:val="single"/>
          <w14:ligatures w14:val="none"/>
        </w:rPr>
        <w:t>Clausi v. Hall</w:t>
      </w:r>
      <w:r w:rsidRPr="00AC412B">
        <w:rPr>
          <w:rFonts w:ascii="Times New Roman" w:hAnsi="Times New Roman"/>
          <w:color w:val="000000"/>
          <w:szCs w:val="24"/>
          <w14:ligatures w14:val="none"/>
        </w:rPr>
        <w:t xml:space="preserve">, 127 A.D.3d 1324 (3d </w:t>
      </w:r>
      <w:proofErr w:type="spellStart"/>
      <w:r w:rsidRPr="00AC412B">
        <w:rPr>
          <w:rFonts w:ascii="Times New Roman" w:hAnsi="Times New Roman"/>
          <w:color w:val="000000"/>
          <w:szCs w:val="24"/>
          <w14:ligatures w14:val="none"/>
        </w:rPr>
        <w:t>Dep’t</w:t>
      </w:r>
      <w:proofErr w:type="spellEnd"/>
      <w:r w:rsidRPr="00AC412B">
        <w:rPr>
          <w:rFonts w:ascii="Times New Roman" w:hAnsi="Times New Roman"/>
          <w:color w:val="000000"/>
          <w:szCs w:val="24"/>
          <w14:ligatures w14:val="none"/>
        </w:rPr>
        <w:t xml:space="preserve"> 2015) (gap in treatment adequately explained by plaintiff’s averment that she stopped treatment for approximately 15 months because she could not afford to bear cost after her no-fault benefits expired). It follows that defendants are entitled to probe the veracity of such claims with discovery of the funds and funding sources available to </w:t>
      </w:r>
      <w:proofErr w:type="gramStart"/>
      <w:r w:rsidRPr="00AC412B">
        <w:rPr>
          <w:rFonts w:ascii="Times New Roman" w:hAnsi="Times New Roman"/>
          <w:color w:val="000000"/>
          <w:szCs w:val="24"/>
          <w14:ligatures w14:val="none"/>
        </w:rPr>
        <w:t>plaintiff</w:t>
      </w:r>
      <w:proofErr w:type="gramEnd"/>
      <w:r w:rsidRPr="00AC412B">
        <w:rPr>
          <w:rFonts w:ascii="Times New Roman" w:hAnsi="Times New Roman"/>
          <w:color w:val="000000"/>
          <w:szCs w:val="24"/>
          <w14:ligatures w14:val="none"/>
        </w:rPr>
        <w:t>.</w:t>
      </w:r>
    </w:p>
    <w:p w14:paraId="209FD140" w14:textId="77777777" w:rsidR="001A1E39" w:rsidRDefault="001A1E39" w:rsidP="001A1E39">
      <w:pPr>
        <w:spacing w:line="480" w:lineRule="auto"/>
        <w:ind w:firstLine="720"/>
        <w:contextualSpacing/>
        <w:jc w:val="both"/>
        <w:textAlignment w:val="baseline"/>
        <w:rPr>
          <w:rFonts w:ascii="Times New Roman" w:hAnsi="Times New Roman"/>
          <w:color w:val="000000"/>
          <w:szCs w:val="24"/>
          <w14:ligatures w14:val="none"/>
        </w:rPr>
      </w:pPr>
      <w:r>
        <w:rPr>
          <w:rFonts w:ascii="Times New Roman" w:hAnsi="Times New Roman"/>
          <w:color w:val="000000"/>
          <w:szCs w:val="24"/>
          <w14:ligatures w14:val="none"/>
        </w:rPr>
        <w:t>x.</w:t>
      </w:r>
      <w:r>
        <w:rPr>
          <w:rFonts w:ascii="Times New Roman" w:hAnsi="Times New Roman"/>
          <w:color w:val="000000"/>
          <w:szCs w:val="24"/>
          <w14:ligatures w14:val="none"/>
        </w:rPr>
        <w:tab/>
        <w:t xml:space="preserve">A TPLF agreement is further relevant to the nature and extent of plaintiff’s </w:t>
      </w:r>
      <w:proofErr w:type="gramStart"/>
      <w:r>
        <w:rPr>
          <w:rFonts w:ascii="Times New Roman" w:hAnsi="Times New Roman"/>
          <w:color w:val="000000"/>
          <w:szCs w:val="24"/>
          <w14:ligatures w14:val="none"/>
        </w:rPr>
        <w:t>damages</w:t>
      </w:r>
      <w:proofErr w:type="gramEnd"/>
      <w:r>
        <w:rPr>
          <w:rFonts w:ascii="Times New Roman" w:hAnsi="Times New Roman"/>
          <w:color w:val="000000"/>
          <w:szCs w:val="24"/>
          <w14:ligatures w14:val="none"/>
        </w:rPr>
        <w:t xml:space="preserve">, specifically the necessity of his ensuing medical treatment. This is because TPLF companies often condition the plaintiff’s receipt of cash funds on the completion of one or more surgeries. </w:t>
      </w:r>
      <w:r w:rsidRPr="006C79D2">
        <w:rPr>
          <w:rFonts w:ascii="Times New Roman" w:hAnsi="Times New Roman"/>
          <w:color w:val="000000"/>
          <w:szCs w:val="24"/>
          <w:u w:val="single"/>
          <w14:ligatures w14:val="none"/>
        </w:rPr>
        <w:t>See, e.g.</w:t>
      </w:r>
      <w:r>
        <w:rPr>
          <w:rFonts w:ascii="Times New Roman" w:hAnsi="Times New Roman"/>
          <w:color w:val="000000"/>
          <w:szCs w:val="24"/>
          <w14:ligatures w14:val="none"/>
        </w:rPr>
        <w:t xml:space="preserve">, </w:t>
      </w:r>
      <w:r w:rsidRPr="006C79D2">
        <w:rPr>
          <w:rFonts w:ascii="Times New Roman" w:hAnsi="Times New Roman"/>
          <w:color w:val="000000"/>
          <w:szCs w:val="24"/>
          <w:u w:val="single"/>
          <w14:ligatures w14:val="none"/>
        </w:rPr>
        <w:t>Toribio Dejesus v. J&amp;A Wine Liquor Corp., et al.</w:t>
      </w:r>
      <w:r>
        <w:rPr>
          <w:rFonts w:ascii="Times New Roman" w:hAnsi="Times New Roman"/>
          <w:color w:val="000000"/>
          <w:szCs w:val="24"/>
          <w14:ligatures w14:val="none"/>
        </w:rPr>
        <w:t xml:space="preserve">, Bronx Co. Index No. 301460/2013E (NYSCEF Doc. No. 5 at p. 19) (TPLF agreement provided for $5,000 cash payable “to plaintiff upon execution of the agreement” and $15,000 payable to plaintiff after surgery”). </w:t>
      </w:r>
    </w:p>
    <w:p w14:paraId="2E2B4630" w14:textId="77777777" w:rsidR="001A1E39" w:rsidRDefault="001A1E39" w:rsidP="001A1E39">
      <w:pPr>
        <w:spacing w:line="480" w:lineRule="auto"/>
        <w:ind w:firstLine="720"/>
        <w:contextualSpacing/>
        <w:jc w:val="both"/>
        <w:textAlignment w:val="baseline"/>
        <w:rPr>
          <w:rFonts w:ascii="Times New Roman" w:hAnsi="Times New Roman"/>
          <w:color w:val="000000"/>
          <w:szCs w:val="24"/>
          <w14:ligatures w14:val="none"/>
        </w:rPr>
      </w:pPr>
      <w:r>
        <w:rPr>
          <w:rFonts w:ascii="Times New Roman" w:hAnsi="Times New Roman"/>
          <w:color w:val="000000"/>
          <w:szCs w:val="24"/>
          <w14:ligatures w14:val="none"/>
        </w:rPr>
        <w:t>x.</w:t>
      </w:r>
      <w:r>
        <w:rPr>
          <w:rFonts w:ascii="Times New Roman" w:hAnsi="Times New Roman"/>
          <w:color w:val="000000"/>
          <w:szCs w:val="24"/>
          <w14:ligatures w14:val="none"/>
        </w:rPr>
        <w:tab/>
        <w:t>In effect, the funder pays the plaintiff to undergo surgery or, in the most benevolent scenario, offers a powerful incentive to do so</w:t>
      </w:r>
      <w:r>
        <w:rPr>
          <w:rStyle w:val="FootnoteReference"/>
          <w:rFonts w:ascii="Times New Roman" w:hAnsi="Times New Roman"/>
          <w:color w:val="000000"/>
          <w:szCs w:val="24"/>
          <w14:ligatures w14:val="none"/>
        </w:rPr>
        <w:footnoteReference w:id="2"/>
      </w:r>
      <w:r>
        <w:rPr>
          <w:rFonts w:ascii="Times New Roman" w:hAnsi="Times New Roman"/>
          <w:color w:val="000000"/>
          <w:szCs w:val="24"/>
          <w14:ligatures w14:val="none"/>
        </w:rPr>
        <w:t xml:space="preserve">. Evidence of a plaintiff’s decision to obtain medical treatment for financial reasons is relevant to a jury’s assessment of the necessity of said treatment and, by extension, the severity of his injuries and the probability of future medical care. Discovery of the TPLF agreement(s) and all related information is necessary for defendants to ascertain whether </w:t>
      </w:r>
      <w:r w:rsidRPr="000B57D4">
        <w:rPr>
          <w:rFonts w:ascii="Times New Roman" w:hAnsi="Times New Roman"/>
          <w:color w:val="000000"/>
          <w:szCs w:val="24"/>
          <w14:ligatures w14:val="none"/>
        </w:rPr>
        <w:t>such conditions exist here.</w:t>
      </w:r>
      <w:r>
        <w:rPr>
          <w:rFonts w:ascii="Times New Roman" w:hAnsi="Times New Roman"/>
          <w:color w:val="000000"/>
          <w:szCs w:val="24"/>
          <w14:ligatures w14:val="none"/>
        </w:rPr>
        <w:t xml:space="preserve"> </w:t>
      </w:r>
    </w:p>
    <w:p w14:paraId="4D307348" w14:textId="77777777" w:rsidR="001A1E39" w:rsidRPr="005003DA" w:rsidRDefault="001A1E39" w:rsidP="001A1E39">
      <w:pPr>
        <w:contextualSpacing/>
        <w:jc w:val="both"/>
        <w:textAlignment w:val="baseline"/>
        <w:rPr>
          <w:rFonts w:ascii="Times New Roman" w:hAnsi="Times New Roman"/>
          <w:color w:val="000000"/>
          <w:szCs w:val="24"/>
          <w14:ligatures w14:val="none"/>
        </w:rPr>
      </w:pPr>
      <w:r w:rsidRPr="00681A77">
        <w:rPr>
          <w:rFonts w:ascii="Times New Roman" w:hAnsi="Times New Roman"/>
          <w:color w:val="000000"/>
          <w:szCs w:val="24"/>
          <w14:ligatures w14:val="none"/>
        </w:rPr>
        <w:t>C.</w:t>
      </w:r>
      <w:r w:rsidRPr="00681A77">
        <w:rPr>
          <w:rFonts w:ascii="Times New Roman" w:hAnsi="Times New Roman"/>
          <w:color w:val="000000"/>
          <w:szCs w:val="24"/>
          <w14:ligatures w14:val="none"/>
        </w:rPr>
        <w:tab/>
      </w:r>
      <w:r w:rsidRPr="005003DA">
        <w:rPr>
          <w:rFonts w:ascii="Times New Roman" w:hAnsi="Times New Roman"/>
          <w:color w:val="000000"/>
          <w:szCs w:val="24"/>
          <w14:ligatures w14:val="none"/>
        </w:rPr>
        <w:t xml:space="preserve">TPLF is Necessary Lien Information that Facilitates </w:t>
      </w:r>
    </w:p>
    <w:p w14:paraId="56C374CF" w14:textId="77777777" w:rsidR="001A1E39" w:rsidRDefault="001A1E39" w:rsidP="001A1E39">
      <w:pPr>
        <w:ind w:firstLine="720"/>
        <w:contextualSpacing/>
        <w:jc w:val="both"/>
        <w:textAlignment w:val="baseline"/>
        <w:rPr>
          <w:rFonts w:ascii="Times New Roman" w:hAnsi="Times New Roman"/>
          <w:color w:val="000000"/>
          <w:szCs w:val="24"/>
          <w:u w:val="single"/>
          <w14:ligatures w14:val="none"/>
        </w:rPr>
      </w:pPr>
      <w:r>
        <w:rPr>
          <w:rFonts w:ascii="Times New Roman" w:hAnsi="Times New Roman"/>
          <w:color w:val="000000"/>
          <w:szCs w:val="24"/>
          <w:u w:val="single"/>
          <w14:ligatures w14:val="none"/>
        </w:rPr>
        <w:t xml:space="preserve">Settlement And a Potential Collateral Source </w:t>
      </w:r>
    </w:p>
    <w:p w14:paraId="2365195E" w14:textId="77777777" w:rsidR="001A1E39" w:rsidRPr="007C7C20" w:rsidRDefault="001A1E39" w:rsidP="001A1E39">
      <w:pPr>
        <w:ind w:firstLine="720"/>
        <w:contextualSpacing/>
        <w:jc w:val="both"/>
        <w:textAlignment w:val="baseline"/>
        <w:rPr>
          <w:rFonts w:ascii="Times New Roman" w:hAnsi="Times New Roman"/>
          <w:color w:val="000000"/>
          <w:szCs w:val="24"/>
          <w:u w:val="single"/>
          <w14:ligatures w14:val="none"/>
        </w:rPr>
      </w:pPr>
    </w:p>
    <w:p w14:paraId="788B01C3" w14:textId="77777777" w:rsidR="001A1E39" w:rsidRPr="00BA6C00" w:rsidRDefault="001A1E39" w:rsidP="001A1E39">
      <w:pPr>
        <w:spacing w:line="480" w:lineRule="auto"/>
        <w:ind w:firstLine="720"/>
        <w:contextualSpacing/>
        <w:jc w:val="both"/>
        <w:textAlignment w:val="baseline"/>
        <w:rPr>
          <w:rFonts w:ascii="Times New Roman" w:hAnsi="Times New Roman"/>
          <w:color w:val="000000"/>
          <w:szCs w:val="24"/>
          <w14:ligatures w14:val="none"/>
        </w:rPr>
      </w:pPr>
      <w:r>
        <w:rPr>
          <w:rFonts w:ascii="Times New Roman" w:hAnsi="Times New Roman"/>
          <w:color w:val="000000"/>
          <w:szCs w:val="24"/>
          <w14:ligatures w14:val="none"/>
        </w:rPr>
        <w:t>x.</w:t>
      </w:r>
      <w:r>
        <w:rPr>
          <w:rFonts w:ascii="Times New Roman" w:hAnsi="Times New Roman"/>
          <w:color w:val="000000"/>
          <w:szCs w:val="24"/>
          <w14:ligatures w14:val="none"/>
        </w:rPr>
        <w:tab/>
        <w:t xml:space="preserve">Having established the relevance of TPLF information, it bears explicating the “materiality and necessity” of this information independent of its admissible probative value. To do so, defendants need only point out that a TPLF agreement establishes a </w:t>
      </w:r>
      <w:proofErr w:type="gramStart"/>
      <w:r w:rsidRPr="003025E8">
        <w:rPr>
          <w:rFonts w:ascii="Times New Roman" w:hAnsi="Times New Roman"/>
          <w:color w:val="000000"/>
          <w:szCs w:val="24"/>
          <w14:ligatures w14:val="none"/>
        </w:rPr>
        <w:t>lien</w:t>
      </w:r>
      <w:proofErr w:type="gramEnd"/>
      <w:r>
        <w:rPr>
          <w:rFonts w:ascii="Times New Roman" w:hAnsi="Times New Roman"/>
          <w:color w:val="000000"/>
          <w:szCs w:val="24"/>
          <w14:ligatures w14:val="none"/>
        </w:rPr>
        <w:t xml:space="preserve"> on the plaintiff’s recovery held by the funder. </w:t>
      </w:r>
      <w:r>
        <w:rPr>
          <w:rFonts w:ascii="Times New Roman" w:hAnsi="Times New Roman"/>
          <w:szCs w:val="24"/>
          <w:bdr w:val="none" w:sz="0" w:space="0" w:color="auto" w:frame="1"/>
          <w14:ligatures w14:val="none"/>
        </w:rPr>
        <w:t>Lien information is</w:t>
      </w:r>
      <w:r>
        <w:rPr>
          <w:rFonts w:ascii="Times New Roman" w:hAnsi="Times New Roman"/>
          <w:color w:val="212121"/>
          <w:szCs w:val="24"/>
          <w:bdr w:val="none" w:sz="0" w:space="0" w:color="auto" w:frame="1"/>
          <w14:ligatures w14:val="none"/>
        </w:rPr>
        <w:t xml:space="preserve"> routinely exchanged without commotion in personal injury actions, Medicare/Medicaid and Workers’ Compensation </w:t>
      </w:r>
      <w:proofErr w:type="gramStart"/>
      <w:r>
        <w:rPr>
          <w:rFonts w:ascii="Times New Roman" w:hAnsi="Times New Roman"/>
          <w:color w:val="212121"/>
          <w:szCs w:val="24"/>
          <w:bdr w:val="none" w:sz="0" w:space="0" w:color="auto" w:frame="1"/>
          <w14:ligatures w14:val="none"/>
        </w:rPr>
        <w:t>liens</w:t>
      </w:r>
      <w:proofErr w:type="gramEnd"/>
      <w:r>
        <w:rPr>
          <w:rFonts w:ascii="Times New Roman" w:hAnsi="Times New Roman"/>
          <w:color w:val="212121"/>
          <w:szCs w:val="24"/>
          <w:bdr w:val="none" w:sz="0" w:space="0" w:color="auto" w:frame="1"/>
          <w14:ligatures w14:val="none"/>
        </w:rPr>
        <w:t xml:space="preserve"> being the most obvious example.</w:t>
      </w:r>
      <w:r>
        <w:rPr>
          <w:rFonts w:ascii="Times New Roman" w:hAnsi="Times New Roman"/>
          <w:color w:val="000000"/>
          <w:szCs w:val="24"/>
          <w14:ligatures w14:val="none"/>
        </w:rPr>
        <w:t xml:space="preserve"> Critically, while </w:t>
      </w:r>
      <w:r>
        <w:rPr>
          <w:rFonts w:ascii="Times New Roman" w:hAnsi="Times New Roman"/>
          <w:color w:val="212121"/>
          <w:szCs w:val="24"/>
          <w:bdr w:val="none" w:sz="0" w:space="0" w:color="auto" w:frame="1"/>
          <w14:ligatures w14:val="none"/>
        </w:rPr>
        <w:t xml:space="preserve">CPLR 3101 does not explicitly require production of lien information and such evidence is almost universally inadmissible, disclosure thereof is nevertheless required under this statute and routinely mandated by New York courts. The First Department has recently affirmed this. </w:t>
      </w:r>
      <w:r w:rsidRPr="008E79AD">
        <w:rPr>
          <w:rFonts w:ascii="Times New Roman" w:hAnsi="Times New Roman"/>
          <w:color w:val="212121"/>
          <w:szCs w:val="24"/>
          <w:u w:val="single"/>
          <w:bdr w:val="none" w:sz="0" w:space="0" w:color="auto" w:frame="1"/>
          <w14:ligatures w14:val="none"/>
        </w:rPr>
        <w:t>Ortiz v. Montefiore Med. Ctr.</w:t>
      </w:r>
      <w:r w:rsidRPr="00125A59">
        <w:rPr>
          <w:rFonts w:ascii="Times New Roman" w:hAnsi="Times New Roman"/>
          <w:color w:val="212121"/>
          <w:szCs w:val="24"/>
          <w:bdr w:val="none" w:sz="0" w:space="0" w:color="auto" w:frame="1"/>
          <w14:ligatures w14:val="none"/>
        </w:rPr>
        <w:t>, 235 A.D.3d 412, 414</w:t>
      </w:r>
      <w:r>
        <w:rPr>
          <w:rFonts w:ascii="Times New Roman" w:hAnsi="Times New Roman"/>
          <w:color w:val="212121"/>
          <w:szCs w:val="24"/>
          <w:bdr w:val="none" w:sz="0" w:space="0" w:color="auto" w:frame="1"/>
          <w14:ligatures w14:val="none"/>
        </w:rPr>
        <w:t xml:space="preserve"> (1st </w:t>
      </w:r>
      <w:proofErr w:type="spellStart"/>
      <w:r>
        <w:rPr>
          <w:rFonts w:ascii="Times New Roman" w:hAnsi="Times New Roman"/>
          <w:color w:val="212121"/>
          <w:szCs w:val="24"/>
          <w:bdr w:val="none" w:sz="0" w:space="0" w:color="auto" w:frame="1"/>
          <w14:ligatures w14:val="none"/>
        </w:rPr>
        <w:t>Dep’t</w:t>
      </w:r>
      <w:proofErr w:type="spellEnd"/>
      <w:r>
        <w:rPr>
          <w:rFonts w:ascii="Times New Roman" w:hAnsi="Times New Roman"/>
          <w:color w:val="212121"/>
          <w:szCs w:val="24"/>
          <w:bdr w:val="none" w:sz="0" w:space="0" w:color="auto" w:frame="1"/>
          <w14:ligatures w14:val="none"/>
        </w:rPr>
        <w:t xml:space="preserve"> 2025) (“</w:t>
      </w:r>
      <w:r w:rsidRPr="00125A59">
        <w:rPr>
          <w:rFonts w:ascii="Times New Roman" w:hAnsi="Times New Roman"/>
          <w:color w:val="212121"/>
          <w:szCs w:val="24"/>
          <w:bdr w:val="none" w:sz="0" w:space="0" w:color="auto" w:frame="1"/>
          <w14:ligatures w14:val="none"/>
        </w:rPr>
        <w:t>Although discovery is generally understood to focus on the trial, the requested</w:t>
      </w:r>
      <w:r>
        <w:rPr>
          <w:rFonts w:ascii="Times New Roman" w:hAnsi="Times New Roman"/>
          <w:color w:val="212121"/>
          <w:szCs w:val="24"/>
          <w:bdr w:val="none" w:sz="0" w:space="0" w:color="auto" w:frame="1"/>
          <w14:ligatures w14:val="none"/>
        </w:rPr>
        <w:t xml:space="preserve"> [Medicare and Medicaid]</w:t>
      </w:r>
      <w:r w:rsidRPr="00125A59">
        <w:rPr>
          <w:rFonts w:ascii="Times New Roman" w:hAnsi="Times New Roman"/>
          <w:color w:val="212121"/>
          <w:szCs w:val="24"/>
          <w:bdr w:val="none" w:sz="0" w:space="0" w:color="auto" w:frame="1"/>
          <w14:ligatures w14:val="none"/>
        </w:rPr>
        <w:t xml:space="preserve"> lien letters are valid discovery material as they are necessary not only to settle the matter but also for entry of a final judgment</w:t>
      </w:r>
      <w:r>
        <w:rPr>
          <w:rFonts w:ascii="Times New Roman" w:hAnsi="Times New Roman"/>
          <w:color w:val="212121"/>
          <w:szCs w:val="24"/>
          <w:bdr w:val="none" w:sz="0" w:space="0" w:color="auto" w:frame="1"/>
          <w14:ligatures w14:val="none"/>
        </w:rPr>
        <w:t>.”).</w:t>
      </w:r>
    </w:p>
    <w:p w14:paraId="07CF9526" w14:textId="77777777" w:rsidR="001A1E39" w:rsidRDefault="001A1E39" w:rsidP="001A1E39">
      <w:pPr>
        <w:spacing w:line="480" w:lineRule="auto"/>
        <w:ind w:firstLine="720"/>
        <w:contextualSpacing/>
        <w:jc w:val="both"/>
        <w:textAlignment w:val="baseline"/>
        <w:rPr>
          <w:rFonts w:ascii="Times New Roman" w:hAnsi="Times New Roman"/>
          <w:color w:val="212121"/>
          <w:szCs w:val="24"/>
          <w:bdr w:val="none" w:sz="0" w:space="0" w:color="auto" w:frame="1"/>
          <w14:ligatures w14:val="none"/>
        </w:rPr>
      </w:pPr>
      <w:r>
        <w:rPr>
          <w:rFonts w:ascii="Times New Roman" w:hAnsi="Times New Roman"/>
          <w:color w:val="212121"/>
          <w:szCs w:val="24"/>
          <w:bdr w:val="none" w:sz="0" w:space="0" w:color="auto" w:frame="1"/>
          <w14:ligatures w14:val="none"/>
        </w:rPr>
        <w:t>x.</w:t>
      </w:r>
      <w:r>
        <w:rPr>
          <w:rFonts w:ascii="Times New Roman" w:hAnsi="Times New Roman"/>
          <w:color w:val="212121"/>
          <w:szCs w:val="24"/>
          <w:bdr w:val="none" w:sz="0" w:space="0" w:color="auto" w:frame="1"/>
          <w14:ligatures w14:val="none"/>
        </w:rPr>
        <w:tab/>
        <w:t>Accordingly, New York trial courts favor and often require disclosure of lien information. For example, Queens County Supreme Court’s Compliance Conference Part requires parties to complete a fillable Compliance Conference Stipulation and Order</w:t>
      </w:r>
      <w:r>
        <w:rPr>
          <w:rStyle w:val="FootnoteReference"/>
          <w:rFonts w:ascii="Times New Roman" w:hAnsi="Times New Roman"/>
          <w:color w:val="212121"/>
          <w:szCs w:val="24"/>
          <w:bdr w:val="none" w:sz="0" w:space="0" w:color="auto" w:frame="1"/>
          <w14:ligatures w14:val="none"/>
        </w:rPr>
        <w:footnoteReference w:id="3"/>
      </w:r>
      <w:r>
        <w:rPr>
          <w:rFonts w:ascii="Times New Roman" w:hAnsi="Times New Roman"/>
          <w:color w:val="212121"/>
          <w:szCs w:val="24"/>
          <w:bdr w:val="none" w:sz="0" w:space="0" w:color="auto" w:frame="1"/>
          <w14:ligatures w14:val="none"/>
        </w:rPr>
        <w:t xml:space="preserve"> that asks whether “[l]</w:t>
      </w:r>
      <w:proofErr w:type="spellStart"/>
      <w:r>
        <w:rPr>
          <w:rFonts w:ascii="Times New Roman" w:hAnsi="Times New Roman"/>
          <w:color w:val="212121"/>
          <w:szCs w:val="24"/>
          <w:bdr w:val="none" w:sz="0" w:space="0" w:color="auto" w:frame="1"/>
          <w14:ligatures w14:val="none"/>
        </w:rPr>
        <w:t>ien</w:t>
      </w:r>
      <w:proofErr w:type="spellEnd"/>
      <w:r>
        <w:rPr>
          <w:rFonts w:ascii="Times New Roman" w:hAnsi="Times New Roman"/>
          <w:color w:val="212121"/>
          <w:szCs w:val="24"/>
          <w:bdr w:val="none" w:sz="0" w:space="0" w:color="auto" w:frame="1"/>
          <w14:ligatures w14:val="none"/>
        </w:rPr>
        <w:t xml:space="preserve"> information was served” and, if it wasn’t, requires the parties to pick a date by which the Plaintiff “shall serve” such information.</w:t>
      </w:r>
      <w:r>
        <w:rPr>
          <w:rStyle w:val="FootnoteReference"/>
          <w:rFonts w:ascii="Times New Roman" w:hAnsi="Times New Roman"/>
          <w:color w:val="212121"/>
          <w:szCs w:val="24"/>
          <w:bdr w:val="none" w:sz="0" w:space="0" w:color="auto" w:frame="1"/>
          <w14:ligatures w14:val="none"/>
        </w:rPr>
        <w:footnoteReference w:id="4"/>
      </w:r>
      <w:r>
        <w:rPr>
          <w:rFonts w:ascii="Times New Roman" w:hAnsi="Times New Roman"/>
          <w:color w:val="212121"/>
          <w:szCs w:val="24"/>
          <w:bdr w:val="none" w:sz="0" w:space="0" w:color="auto" w:frame="1"/>
          <w14:ligatures w14:val="none"/>
        </w:rPr>
        <w:t xml:space="preserve"> Similarly, Richmond County Supreme Court’s fillable confidential/settlement worksheet provides that lien information be shared along with other relevant case information.</w:t>
      </w:r>
      <w:r>
        <w:rPr>
          <w:rStyle w:val="FootnoteReference"/>
          <w:rFonts w:ascii="Times New Roman" w:hAnsi="Times New Roman"/>
          <w:color w:val="212121"/>
          <w:szCs w:val="24"/>
          <w:bdr w:val="none" w:sz="0" w:space="0" w:color="auto" w:frame="1"/>
          <w14:ligatures w14:val="none"/>
        </w:rPr>
        <w:footnoteReference w:id="5"/>
      </w:r>
      <w:r>
        <w:rPr>
          <w:rFonts w:ascii="Times New Roman" w:hAnsi="Times New Roman"/>
          <w:color w:val="212121"/>
          <w:szCs w:val="24"/>
          <w:bdr w:val="none" w:sz="0" w:space="0" w:color="auto" w:frame="1"/>
          <w14:ligatures w14:val="none"/>
        </w:rPr>
        <w:t xml:space="preserve"> Federal courts have also begun to mandate disclosure of TPLF as standard practice.</w:t>
      </w:r>
      <w:r>
        <w:rPr>
          <w:rStyle w:val="FootnoteReference"/>
          <w:rFonts w:ascii="Times New Roman" w:hAnsi="Times New Roman"/>
          <w:color w:val="212121"/>
          <w:szCs w:val="24"/>
          <w:bdr w:val="none" w:sz="0" w:space="0" w:color="auto" w:frame="1"/>
          <w14:ligatures w14:val="none"/>
        </w:rPr>
        <w:footnoteReference w:id="6"/>
      </w:r>
      <w:r>
        <w:rPr>
          <w:rFonts w:ascii="Times New Roman" w:hAnsi="Times New Roman"/>
          <w:color w:val="212121"/>
          <w:szCs w:val="24"/>
          <w:bdr w:val="none" w:sz="0" w:space="0" w:color="auto" w:frame="1"/>
          <w14:ligatures w14:val="none"/>
        </w:rPr>
        <w:t xml:space="preserve"> </w:t>
      </w:r>
    </w:p>
    <w:p w14:paraId="4199774C" w14:textId="77777777" w:rsidR="001A1E39" w:rsidRPr="00364AA1" w:rsidRDefault="001A1E39" w:rsidP="001A1E39">
      <w:pPr>
        <w:spacing w:line="480" w:lineRule="auto"/>
        <w:ind w:firstLine="720"/>
        <w:contextualSpacing/>
        <w:jc w:val="both"/>
        <w:textAlignment w:val="baseline"/>
        <w:rPr>
          <w:rFonts w:ascii="Times New Roman" w:hAnsi="Times New Roman"/>
          <w:color w:val="212121"/>
          <w:szCs w:val="24"/>
          <w:bdr w:val="none" w:sz="0" w:space="0" w:color="auto" w:frame="1"/>
          <w14:ligatures w14:val="none"/>
        </w:rPr>
      </w:pPr>
      <w:r>
        <w:rPr>
          <w:rFonts w:ascii="Times New Roman" w:hAnsi="Times New Roman"/>
          <w:color w:val="212121"/>
          <w:szCs w:val="24"/>
          <w:bdr w:val="none" w:sz="0" w:space="0" w:color="auto" w:frame="1"/>
          <w14:ligatures w14:val="none"/>
        </w:rPr>
        <w:t>x.</w:t>
      </w:r>
      <w:r>
        <w:rPr>
          <w:rFonts w:ascii="Times New Roman" w:hAnsi="Times New Roman"/>
          <w:color w:val="212121"/>
          <w:szCs w:val="24"/>
          <w:bdr w:val="none" w:sz="0" w:space="0" w:color="auto" w:frame="1"/>
          <w14:ligatures w14:val="none"/>
        </w:rPr>
        <w:tab/>
      </w:r>
      <w:r>
        <w:rPr>
          <w:rFonts w:ascii="Times New Roman" w:eastAsia="Yu Gothic UI Semilight" w:hAnsi="Times New Roman"/>
          <w:color w:val="000000"/>
          <w:szCs w:val="24"/>
        </w:rPr>
        <w:t>I</w:t>
      </w:r>
      <w:r>
        <w:rPr>
          <w:rFonts w:ascii="Times New Roman" w:hAnsi="Times New Roman"/>
          <w:szCs w:val="24"/>
        </w:rPr>
        <w:t>t has long been recognized that</w:t>
      </w:r>
      <w:r>
        <w:rPr>
          <w:rFonts w:ascii="Times New Roman" w:hAnsi="Times New Roman"/>
          <w:b/>
          <w:bCs/>
          <w:szCs w:val="24"/>
        </w:rPr>
        <w:t xml:space="preserve"> </w:t>
      </w:r>
      <w:r w:rsidRPr="00A45E7F">
        <w:rPr>
          <w:rFonts w:ascii="Times New Roman" w:hAnsi="Times New Roman"/>
          <w:szCs w:val="24"/>
        </w:rPr>
        <w:t>“</w:t>
      </w:r>
      <w:r>
        <w:rPr>
          <w:rFonts w:ascii="Times New Roman" w:hAnsi="Times New Roman"/>
          <w:color w:val="000000"/>
          <w:szCs w:val="24"/>
        </w:rPr>
        <w:t>settlement of disputes through negotiation and compromise is a venerable and important public policy</w:t>
      </w:r>
      <w:r>
        <w:rPr>
          <w:rFonts w:ascii="Times New Roman" w:hAnsi="Times New Roman"/>
          <w:color w:val="212121"/>
          <w:szCs w:val="24"/>
        </w:rPr>
        <w:t xml:space="preserve">.” </w:t>
      </w:r>
      <w:r>
        <w:rPr>
          <w:rFonts w:ascii="Times New Roman" w:hAnsi="Times New Roman"/>
          <w:color w:val="212121"/>
          <w:szCs w:val="24"/>
          <w:u w:val="single"/>
          <w:bdr w:val="none" w:sz="0" w:space="0" w:color="auto" w:frame="1"/>
        </w:rPr>
        <w:t>Academy St. Assoc. v. Spitzer</w:t>
      </w:r>
      <w:r>
        <w:rPr>
          <w:rFonts w:ascii="Times New Roman" w:hAnsi="Times New Roman"/>
          <w:color w:val="000000"/>
          <w:szCs w:val="24"/>
        </w:rPr>
        <w:t xml:space="preserve">, 50 A.D.3d 271, 277 (1st </w:t>
      </w:r>
      <w:proofErr w:type="spellStart"/>
      <w:r>
        <w:rPr>
          <w:rFonts w:ascii="Times New Roman" w:hAnsi="Times New Roman"/>
          <w:color w:val="000000"/>
          <w:szCs w:val="24"/>
        </w:rPr>
        <w:t>Dep’t</w:t>
      </w:r>
      <w:proofErr w:type="spellEnd"/>
      <w:r>
        <w:rPr>
          <w:rFonts w:ascii="Times New Roman" w:hAnsi="Times New Roman"/>
          <w:color w:val="000000"/>
          <w:szCs w:val="24"/>
        </w:rPr>
        <w:t xml:space="preserve"> 2008), </w:t>
      </w:r>
      <w:r>
        <w:rPr>
          <w:rFonts w:ascii="Times New Roman" w:hAnsi="Times New Roman"/>
          <w:color w:val="000000"/>
          <w:szCs w:val="24"/>
          <w:u w:val="single"/>
        </w:rPr>
        <w:t>citing</w:t>
      </w:r>
      <w:r>
        <w:rPr>
          <w:rFonts w:ascii="Times New Roman" w:hAnsi="Times New Roman"/>
          <w:color w:val="000000"/>
          <w:szCs w:val="24"/>
        </w:rPr>
        <w:t xml:space="preserve"> </w:t>
      </w:r>
      <w:r>
        <w:rPr>
          <w:rFonts w:ascii="Times New Roman" w:hAnsi="Times New Roman"/>
          <w:color w:val="000000"/>
          <w:szCs w:val="24"/>
          <w:u w:val="single"/>
        </w:rPr>
        <w:t>White v. Old Dominion S.S. Co.</w:t>
      </w:r>
      <w:r>
        <w:rPr>
          <w:rFonts w:ascii="Times New Roman" w:hAnsi="Times New Roman"/>
          <w:color w:val="000000"/>
          <w:szCs w:val="24"/>
        </w:rPr>
        <w:t xml:space="preserve">, 102 N.Y. 660, 662 (1886) and </w:t>
      </w:r>
      <w:r>
        <w:rPr>
          <w:rFonts w:ascii="Times New Roman" w:hAnsi="Times New Roman"/>
          <w:color w:val="000000"/>
          <w:szCs w:val="24"/>
          <w:u w:val="single"/>
        </w:rPr>
        <w:t>Mitchell v. New York Hosp.</w:t>
      </w:r>
      <w:r>
        <w:rPr>
          <w:rFonts w:ascii="Times New Roman" w:hAnsi="Times New Roman"/>
          <w:color w:val="000000"/>
          <w:szCs w:val="24"/>
        </w:rPr>
        <w:t>, 61 N.Y.2d 208, 214 (1984).</w:t>
      </w:r>
      <w:r>
        <w:rPr>
          <w:rFonts w:ascii="Times New Roman" w:hAnsi="Times New Roman"/>
          <w:color w:val="212121"/>
          <w:szCs w:val="24"/>
          <w:bdr w:val="none" w:sz="0" w:space="0" w:color="auto" w:frame="1"/>
          <w14:ligatures w14:val="none"/>
        </w:rPr>
        <w:t xml:space="preserve"> The rationale for discovery of inadmissible lien information is therefore plain: it promotes settlement by enabling litigants to identify other interested parties, specifically those with a financial stake in the controversy’s outcome. There can be no doubt that litigation funders are such parties. The New York City Bar has observed that </w:t>
      </w:r>
      <w:r>
        <w:rPr>
          <w:rFonts w:ascii="Times New Roman" w:hAnsi="Times New Roman"/>
          <w:color w:val="000000"/>
          <w:szCs w:val="24"/>
        </w:rPr>
        <w:t xml:space="preserve">TPLF can take settlement authority out of plaintiff’s hands, as many funding agreements require “the [funder]’s consent when taking steps to pursue or resolve the lawsuit, such as making or responding to settlement offers.” (NYC BAR </w:t>
      </w:r>
      <w:r>
        <w:rPr>
          <w:rFonts w:ascii="Times New Roman" w:hAnsi="Times New Roman"/>
          <w:szCs w:val="24"/>
        </w:rPr>
        <w:t>FORMAL OPINION 2011 – 2 at 7).</w:t>
      </w:r>
      <w:r>
        <w:rPr>
          <w:rStyle w:val="FootnoteReference"/>
          <w:rFonts w:ascii="Times New Roman" w:hAnsi="Times New Roman"/>
          <w:color w:val="000000"/>
          <w:szCs w:val="24"/>
        </w:rPr>
        <w:footnoteReference w:id="7"/>
      </w:r>
      <w:r>
        <w:rPr>
          <w:rFonts w:ascii="Times New Roman" w:hAnsi="Times New Roman"/>
          <w:color w:val="000000"/>
          <w:szCs w:val="24"/>
        </w:rPr>
        <w:t xml:space="preserve">  The funder, “to protect its own interest in maximizing the fee it may earn…[may object] to accepting a settlement offer that does not meet the company’s expectations regarding the return on its investment.” </w:t>
      </w:r>
      <w:r>
        <w:rPr>
          <w:rFonts w:ascii="Times New Roman" w:hAnsi="Times New Roman"/>
          <w:color w:val="000000"/>
          <w:szCs w:val="24"/>
          <w:u w:val="single"/>
        </w:rPr>
        <w:t>Id</w:t>
      </w:r>
      <w:r w:rsidRPr="00383EBA">
        <w:rPr>
          <w:rFonts w:ascii="Times New Roman" w:hAnsi="Times New Roman"/>
          <w:color w:val="000000"/>
          <w:szCs w:val="24"/>
        </w:rPr>
        <w:t>.</w:t>
      </w:r>
      <w:r>
        <w:rPr>
          <w:rStyle w:val="FootnoteReference"/>
          <w:rFonts w:ascii="Times New Roman" w:hAnsi="Times New Roman"/>
          <w:szCs w:val="24"/>
        </w:rPr>
        <w:footnoteReference w:id="8"/>
      </w:r>
      <w:r>
        <w:rPr>
          <w:rFonts w:ascii="Times New Roman" w:hAnsi="Times New Roman"/>
          <w:szCs w:val="24"/>
        </w:rPr>
        <w:t xml:space="preserve"> </w:t>
      </w:r>
      <w:r>
        <w:rPr>
          <w:rFonts w:ascii="Times New Roman" w:hAnsi="Times New Roman"/>
          <w:color w:val="000000"/>
          <w:szCs w:val="24"/>
        </w:rPr>
        <w:t>This “</w:t>
      </w:r>
      <w:r>
        <w:rPr>
          <w:rFonts w:ascii="Times New Roman" w:hAnsi="Times New Roman"/>
          <w:szCs w:val="24"/>
        </w:rPr>
        <w:t>may create incentives for parties not to reach settlement” (GAO at 18).</w:t>
      </w:r>
      <w:r>
        <w:rPr>
          <w:rFonts w:ascii="Times New Roman" w:hAnsi="Times New Roman"/>
          <w:color w:val="000000"/>
          <w:szCs w:val="24"/>
        </w:rPr>
        <w:t xml:space="preserve"> Over the life of a case, high fees and interest rates charged by lenders can “significantly cut into [a plaintiff’s] recovery amount” and a plaintiff may reject a fair settlement offer to “seek extra money to make up the amount that has to be repaid” (GAO at p. 20).</w:t>
      </w:r>
      <w:r>
        <w:rPr>
          <w:rFonts w:ascii="Times New Roman" w:hAnsi="Times New Roman"/>
          <w:szCs w:val="24"/>
        </w:rPr>
        <w:t xml:space="preserve"> Permitting a litigation funder wielding such authority to remain anonymous frustrates public policy favoring settlement by preventing interested parties from communicating directly. </w:t>
      </w:r>
      <w:r>
        <w:rPr>
          <w:rFonts w:ascii="Times New Roman" w:hAnsi="Times New Roman"/>
          <w:szCs w:val="24"/>
          <w:u w:val="single"/>
          <w:bdr w:val="none" w:sz="0" w:space="0" w:color="auto" w:frame="1"/>
          <w14:ligatures w14:val="none"/>
        </w:rPr>
        <w:t>See</w:t>
      </w:r>
      <w:r>
        <w:rPr>
          <w:rFonts w:ascii="Times New Roman" w:hAnsi="Times New Roman"/>
          <w:szCs w:val="24"/>
          <w:bdr w:val="none" w:sz="0" w:space="0" w:color="auto" w:frame="1"/>
          <w14:ligatures w14:val="none"/>
        </w:rPr>
        <w:t xml:space="preserve"> </w:t>
      </w:r>
      <w:r>
        <w:rPr>
          <w:rFonts w:ascii="Times New Roman" w:hAnsi="Times New Roman"/>
          <w:szCs w:val="24"/>
          <w:u w:val="single"/>
          <w:bdr w:val="none" w:sz="0" w:space="0" w:color="auto" w:frame="1"/>
          <w14:ligatures w14:val="none"/>
        </w:rPr>
        <w:t>Senft v. Manhattan R. R. Co.</w:t>
      </w:r>
      <w:r>
        <w:rPr>
          <w:rFonts w:ascii="Times New Roman" w:hAnsi="Times New Roman"/>
          <w:szCs w:val="24"/>
          <w:bdr w:val="none" w:sz="0" w:space="0" w:color="auto" w:frame="1"/>
          <w14:ligatures w14:val="none"/>
        </w:rPr>
        <w:t>, 24 Abb. N. Cas. 64, 68 (</w:t>
      </w:r>
      <w:r>
        <w:rPr>
          <w:rFonts w:ascii="Times New Roman" w:hAnsi="Times New Roman"/>
          <w:color w:val="212121"/>
          <w:szCs w:val="24"/>
          <w:shd w:val="clear" w:color="auto" w:fill="FFFFFF"/>
        </w:rPr>
        <w:t>Superior Court of New York, General Term, 1889) (“</w:t>
      </w:r>
      <w:r>
        <w:rPr>
          <w:rFonts w:ascii="Times New Roman" w:hAnsi="Times New Roman"/>
          <w:color w:val="212121"/>
          <w:szCs w:val="24"/>
          <w14:ligatures w14:val="none"/>
        </w:rPr>
        <w:t>A defendant also has a </w:t>
      </w:r>
      <w:r>
        <w:rPr>
          <w:rFonts w:ascii="Times New Roman" w:hAnsi="Times New Roman"/>
          <w:color w:val="212121"/>
          <w:szCs w:val="24"/>
          <w:bdr w:val="none" w:sz="0" w:space="0" w:color="auto" w:frame="1"/>
          <w14:ligatures w14:val="none"/>
        </w:rPr>
        <w:t>right to know</w:t>
      </w:r>
      <w:r>
        <w:rPr>
          <w:rFonts w:ascii="Times New Roman" w:hAnsi="Times New Roman"/>
          <w:color w:val="212121"/>
          <w:szCs w:val="24"/>
          <w14:ligatures w14:val="none"/>
        </w:rPr>
        <w:t xml:space="preserve"> who </w:t>
      </w:r>
      <w:proofErr w:type="gramStart"/>
      <w:r>
        <w:rPr>
          <w:rFonts w:ascii="Times New Roman" w:hAnsi="Times New Roman"/>
          <w:color w:val="212121"/>
          <w:szCs w:val="24"/>
          <w14:ligatures w14:val="none"/>
        </w:rPr>
        <w:t>is the real </w:t>
      </w:r>
      <w:r>
        <w:rPr>
          <w:rFonts w:ascii="Times New Roman" w:hAnsi="Times New Roman"/>
          <w:color w:val="212121"/>
          <w:szCs w:val="24"/>
          <w:bdr w:val="none" w:sz="0" w:space="0" w:color="auto" w:frame="1"/>
          <w14:ligatures w14:val="none"/>
        </w:rPr>
        <w:t>party</w:t>
      </w:r>
      <w:r>
        <w:rPr>
          <w:rFonts w:ascii="Times New Roman" w:hAnsi="Times New Roman"/>
          <w:color w:val="212121"/>
          <w:szCs w:val="24"/>
          <w14:ligatures w14:val="none"/>
        </w:rPr>
        <w:t> in interest</w:t>
      </w:r>
      <w:proofErr w:type="gramEnd"/>
      <w:r>
        <w:rPr>
          <w:rFonts w:ascii="Times New Roman" w:hAnsi="Times New Roman"/>
          <w:color w:val="212121"/>
          <w:szCs w:val="24"/>
          <w14:ligatures w14:val="none"/>
        </w:rPr>
        <w:t>.”).</w:t>
      </w:r>
    </w:p>
    <w:p w14:paraId="378263B2" w14:textId="77777777" w:rsidR="001A1E39" w:rsidRPr="00DF489C" w:rsidRDefault="001A1E39" w:rsidP="001A1E39">
      <w:pPr>
        <w:spacing w:line="480" w:lineRule="auto"/>
        <w:ind w:firstLine="720"/>
        <w:contextualSpacing/>
        <w:jc w:val="both"/>
        <w:textAlignment w:val="baseline"/>
        <w:rPr>
          <w:rFonts w:ascii="Times New Roman" w:eastAsia="Yu Gothic UI Semilight" w:hAnsi="Times New Roman"/>
          <w:szCs w:val="24"/>
        </w:rPr>
      </w:pPr>
      <w:r>
        <w:rPr>
          <w:rFonts w:ascii="Times New Roman" w:hAnsi="Times New Roman"/>
          <w:szCs w:val="24"/>
        </w:rPr>
        <w:t>x.</w:t>
      </w:r>
      <w:r>
        <w:rPr>
          <w:rFonts w:ascii="Times New Roman" w:hAnsi="Times New Roman"/>
          <w:szCs w:val="24"/>
        </w:rPr>
        <w:tab/>
        <w:t>Notably, the law does not permit such anonymity on the other side of the caption – CPLR 3101(f) mandates the production of defendants’ insurance coverage information in personal injury actions, which enables plaintiffs and the court to identify and communicate with financial stakeholders. “T</w:t>
      </w:r>
      <w:r>
        <w:rPr>
          <w:rFonts w:ascii="Times New Roman" w:eastAsia="Yu Gothic UI Semilight" w:hAnsi="Times New Roman"/>
          <w:szCs w:val="24"/>
        </w:rPr>
        <w:t xml:space="preserve">he primary motivation for this kind of disclosure provision is to facilitate and encourage settlement.” </w:t>
      </w:r>
      <w:r>
        <w:rPr>
          <w:rFonts w:ascii="Times New Roman" w:eastAsia="Yu Gothic UI Semilight" w:hAnsi="Times New Roman"/>
          <w:szCs w:val="24"/>
          <w:u w:val="single"/>
        </w:rPr>
        <w:t>Krogh v. K-Mart Corp.</w:t>
      </w:r>
      <w:r>
        <w:rPr>
          <w:rFonts w:ascii="Times New Roman" w:eastAsia="Yu Gothic UI Semilight" w:hAnsi="Times New Roman"/>
          <w:szCs w:val="24"/>
        </w:rPr>
        <w:t xml:space="preserve">, 108 A.D.2d 966, 967 (3d </w:t>
      </w:r>
      <w:proofErr w:type="spellStart"/>
      <w:r>
        <w:rPr>
          <w:rFonts w:ascii="Times New Roman" w:eastAsia="Yu Gothic UI Semilight" w:hAnsi="Times New Roman"/>
          <w:szCs w:val="24"/>
        </w:rPr>
        <w:t>Dep’t</w:t>
      </w:r>
      <w:proofErr w:type="spellEnd"/>
      <w:r>
        <w:rPr>
          <w:rFonts w:ascii="Times New Roman" w:eastAsia="Yu Gothic UI Semilight" w:hAnsi="Times New Roman"/>
          <w:szCs w:val="24"/>
        </w:rPr>
        <w:t xml:space="preserve"> 1985); </w:t>
      </w:r>
      <w:r>
        <w:rPr>
          <w:rFonts w:ascii="Times New Roman" w:eastAsia="Yu Gothic UI Semilight" w:hAnsi="Times New Roman"/>
          <w:szCs w:val="24"/>
          <w:u w:val="single"/>
        </w:rPr>
        <w:t>see</w:t>
      </w:r>
      <w:r>
        <w:rPr>
          <w:rFonts w:ascii="Times New Roman" w:eastAsia="Yu Gothic UI Semilight" w:hAnsi="Times New Roman"/>
          <w:szCs w:val="24"/>
        </w:rPr>
        <w:t xml:space="preserve"> </w:t>
      </w:r>
      <w:r>
        <w:rPr>
          <w:rFonts w:ascii="Times New Roman" w:eastAsia="Yu Gothic UI Semilight" w:hAnsi="Times New Roman"/>
          <w:szCs w:val="24"/>
          <w:u w:val="single"/>
        </w:rPr>
        <w:t>also</w:t>
      </w:r>
      <w:r>
        <w:rPr>
          <w:rFonts w:ascii="Times New Roman" w:eastAsia="Yu Gothic UI Semilight" w:hAnsi="Times New Roman"/>
          <w:szCs w:val="24"/>
        </w:rPr>
        <w:t xml:space="preserve"> </w:t>
      </w:r>
      <w:proofErr w:type="spellStart"/>
      <w:r>
        <w:rPr>
          <w:rFonts w:ascii="Times New Roman" w:eastAsia="Yu Gothic UI Semilight" w:hAnsi="Times New Roman"/>
          <w:szCs w:val="24"/>
          <w:u w:val="single"/>
        </w:rPr>
        <w:t>Rzpecki</w:t>
      </w:r>
      <w:proofErr w:type="spellEnd"/>
      <w:r>
        <w:rPr>
          <w:rFonts w:ascii="Times New Roman" w:eastAsia="Yu Gothic UI Semilight" w:hAnsi="Times New Roman"/>
          <w:szCs w:val="24"/>
          <w:u w:val="single"/>
        </w:rPr>
        <w:t xml:space="preserve"> v. Ciesla Elec. Const. Co.</w:t>
      </w:r>
      <w:r>
        <w:rPr>
          <w:rFonts w:ascii="Times New Roman" w:eastAsia="Yu Gothic UI Semilight" w:hAnsi="Times New Roman"/>
          <w:szCs w:val="24"/>
        </w:rPr>
        <w:t xml:space="preserve">, 216 A.D.2d 908, 909 (4th </w:t>
      </w:r>
      <w:proofErr w:type="spellStart"/>
      <w:r>
        <w:rPr>
          <w:rFonts w:ascii="Times New Roman" w:eastAsia="Yu Gothic UI Semilight" w:hAnsi="Times New Roman"/>
          <w:szCs w:val="24"/>
        </w:rPr>
        <w:t>Dep’t</w:t>
      </w:r>
      <w:proofErr w:type="spellEnd"/>
      <w:r>
        <w:rPr>
          <w:rFonts w:ascii="Times New Roman" w:eastAsia="Yu Gothic UI Semilight" w:hAnsi="Times New Roman"/>
          <w:szCs w:val="24"/>
        </w:rPr>
        <w:t xml:space="preserve"> 1995); </w:t>
      </w:r>
      <w:r>
        <w:rPr>
          <w:rFonts w:ascii="Times New Roman" w:eastAsia="Yu Gothic UI Semilight" w:hAnsi="Times New Roman"/>
          <w:szCs w:val="24"/>
          <w:u w:val="single"/>
        </w:rPr>
        <w:t>Kimbell v. Davis</w:t>
      </w:r>
      <w:r>
        <w:rPr>
          <w:rFonts w:ascii="Times New Roman" w:eastAsia="Yu Gothic UI Semilight" w:hAnsi="Times New Roman"/>
          <w:szCs w:val="24"/>
        </w:rPr>
        <w:t xml:space="preserve">, 81 A.D.2d 855 (2d </w:t>
      </w:r>
      <w:proofErr w:type="spellStart"/>
      <w:r>
        <w:rPr>
          <w:rFonts w:ascii="Times New Roman" w:eastAsia="Yu Gothic UI Semilight" w:hAnsi="Times New Roman"/>
          <w:szCs w:val="24"/>
        </w:rPr>
        <w:t>Dep’t</w:t>
      </w:r>
      <w:proofErr w:type="spellEnd"/>
      <w:r>
        <w:rPr>
          <w:rFonts w:ascii="Times New Roman" w:eastAsia="Yu Gothic UI Semilight" w:hAnsi="Times New Roman"/>
          <w:szCs w:val="24"/>
        </w:rPr>
        <w:t xml:space="preserve"> 1981); </w:t>
      </w:r>
      <w:r>
        <w:rPr>
          <w:rFonts w:ascii="Times New Roman" w:eastAsia="Yu Gothic UI Semilight" w:hAnsi="Times New Roman"/>
          <w:szCs w:val="24"/>
          <w:u w:val="single"/>
        </w:rPr>
        <w:t>Spotlight Co. v. Imperial Equities Co.</w:t>
      </w:r>
      <w:r>
        <w:rPr>
          <w:rFonts w:ascii="Times New Roman" w:eastAsia="Yu Gothic UI Semilight" w:hAnsi="Times New Roman"/>
          <w:szCs w:val="24"/>
        </w:rPr>
        <w:t xml:space="preserve">, 107 Misc.2d 124, 126 (App. Term, 1st </w:t>
      </w:r>
      <w:proofErr w:type="spellStart"/>
      <w:r>
        <w:rPr>
          <w:rFonts w:ascii="Times New Roman" w:eastAsia="Yu Gothic UI Semilight" w:hAnsi="Times New Roman"/>
          <w:szCs w:val="24"/>
        </w:rPr>
        <w:t>Dep’t</w:t>
      </w:r>
      <w:proofErr w:type="spellEnd"/>
      <w:r>
        <w:rPr>
          <w:rFonts w:ascii="Times New Roman" w:eastAsia="Yu Gothic UI Semilight" w:hAnsi="Times New Roman"/>
          <w:szCs w:val="24"/>
        </w:rPr>
        <w:t xml:space="preserve"> 1981) (noting that the purpose behind section 3101(f) “was to accelerate settlement of claims by affording the plaintiff knowledge of the limits of defendant’s liability policy”). Again, this information is discoverable despite its settled inadmissibility and irrelevance to the parties’ substantive claims: “[e]</w:t>
      </w:r>
      <w:proofErr w:type="spellStart"/>
      <w:r>
        <w:rPr>
          <w:rFonts w:ascii="Times New Roman" w:eastAsia="Yu Gothic UI Semilight" w:hAnsi="Times New Roman"/>
          <w:szCs w:val="24"/>
        </w:rPr>
        <w:t>vidence</w:t>
      </w:r>
      <w:proofErr w:type="spellEnd"/>
      <w:r>
        <w:rPr>
          <w:rFonts w:ascii="Times New Roman" w:eastAsia="Yu Gothic UI Semilight" w:hAnsi="Times New Roman"/>
          <w:szCs w:val="24"/>
        </w:rPr>
        <w:t xml:space="preserve"> that a defendant carries liability insurance </w:t>
      </w:r>
      <w:r>
        <w:rPr>
          <w:rFonts w:ascii="Times New Roman" w:eastAsia="Yu Gothic UI Semilight" w:hAnsi="Times New Roman"/>
          <w:i/>
          <w:iCs/>
          <w:szCs w:val="24"/>
        </w:rPr>
        <w:t>is generally inadmissible</w:t>
      </w:r>
      <w:r>
        <w:rPr>
          <w:rFonts w:ascii="Times New Roman" w:eastAsia="Yu Gothic UI Semilight" w:hAnsi="Times New Roman"/>
          <w:szCs w:val="24"/>
        </w:rPr>
        <w:t xml:space="preserve"> due to its potential for prejudice, as a jury’s awareness of insurance coverage might make it easier for it to render an adverse verdict against the defendant.” </w:t>
      </w:r>
      <w:proofErr w:type="spellStart"/>
      <w:r>
        <w:rPr>
          <w:rFonts w:ascii="Times New Roman" w:eastAsia="Yu Gothic UI Semilight" w:hAnsi="Times New Roman"/>
          <w:szCs w:val="24"/>
          <w:u w:val="single"/>
        </w:rPr>
        <w:t>Gbadehan</w:t>
      </w:r>
      <w:proofErr w:type="spellEnd"/>
      <w:r>
        <w:rPr>
          <w:rFonts w:ascii="Times New Roman" w:eastAsia="Yu Gothic UI Semilight" w:hAnsi="Times New Roman"/>
          <w:szCs w:val="24"/>
          <w:u w:val="single"/>
        </w:rPr>
        <w:t xml:space="preserve"> v. Williams</w:t>
      </w:r>
      <w:r>
        <w:rPr>
          <w:rFonts w:ascii="Times New Roman" w:eastAsia="Yu Gothic UI Semilight" w:hAnsi="Times New Roman"/>
          <w:szCs w:val="24"/>
        </w:rPr>
        <w:t xml:space="preserve">, 207 A.D.3d 418, 419 (1st </w:t>
      </w:r>
      <w:proofErr w:type="spellStart"/>
      <w:r>
        <w:rPr>
          <w:rFonts w:ascii="Times New Roman" w:eastAsia="Yu Gothic UI Semilight" w:hAnsi="Times New Roman"/>
          <w:szCs w:val="24"/>
        </w:rPr>
        <w:t>Dep’t</w:t>
      </w:r>
      <w:proofErr w:type="spellEnd"/>
      <w:r>
        <w:rPr>
          <w:rFonts w:ascii="Times New Roman" w:eastAsia="Yu Gothic UI Semilight" w:hAnsi="Times New Roman"/>
          <w:szCs w:val="24"/>
        </w:rPr>
        <w:t xml:space="preserve"> 2022) (citing </w:t>
      </w:r>
      <w:r>
        <w:rPr>
          <w:rFonts w:ascii="Times New Roman" w:eastAsia="Yu Gothic UI Semilight" w:hAnsi="Times New Roman"/>
          <w:szCs w:val="24"/>
          <w:u w:val="single"/>
        </w:rPr>
        <w:t>Salm v. Moses</w:t>
      </w:r>
      <w:r>
        <w:rPr>
          <w:rFonts w:ascii="Times New Roman" w:eastAsia="Yu Gothic UI Semilight" w:hAnsi="Times New Roman"/>
          <w:szCs w:val="24"/>
        </w:rPr>
        <w:t>, 13 N.Y.3d 816, 817-18 (2009) (emphasis added))</w:t>
      </w:r>
      <w:r>
        <w:rPr>
          <w:rStyle w:val="FootnoteReference"/>
          <w:rFonts w:ascii="Times New Roman" w:eastAsia="Yu Gothic UI Semilight" w:hAnsi="Times New Roman"/>
          <w:szCs w:val="24"/>
        </w:rPr>
        <w:footnoteReference w:id="9"/>
      </w:r>
      <w:r>
        <w:rPr>
          <w:rFonts w:ascii="Times New Roman" w:eastAsia="Yu Gothic UI Semilight" w:hAnsi="Times New Roman"/>
          <w:szCs w:val="24"/>
        </w:rPr>
        <w:t xml:space="preserve">. </w:t>
      </w:r>
      <w:r>
        <w:rPr>
          <w:rFonts w:ascii="Times New Roman" w:hAnsi="Times New Roman"/>
          <w:szCs w:val="24"/>
        </w:rPr>
        <w:t xml:space="preserve">Retaining anonymity for litigation funders also prevents courts from exerting on them the same salutary pressures courts routinely apply to insurance representatives, i.e., those with settlement decision-making authority, including, for instance, requiring their attendance of court-mandated settlement conferences. </w:t>
      </w:r>
    </w:p>
    <w:p w14:paraId="20376946" w14:textId="77777777" w:rsidR="001A1E39" w:rsidRDefault="001A1E39" w:rsidP="001A1E39">
      <w:pPr>
        <w:spacing w:line="480" w:lineRule="auto"/>
        <w:ind w:firstLine="720"/>
        <w:contextualSpacing/>
        <w:jc w:val="both"/>
        <w:rPr>
          <w:rFonts w:ascii="Times New Roman" w:hAnsi="Times New Roman"/>
          <w:color w:val="000000"/>
          <w:szCs w:val="24"/>
          <w14:ligatures w14:val="none"/>
        </w:rPr>
      </w:pPr>
      <w:r>
        <w:rPr>
          <w:rFonts w:ascii="Times New Roman" w:hAnsi="Times New Roman"/>
          <w:color w:val="212121"/>
          <w:szCs w:val="24"/>
        </w:rPr>
        <w:t>x.</w:t>
      </w:r>
      <w:r>
        <w:rPr>
          <w:rFonts w:ascii="Times New Roman" w:hAnsi="Times New Roman"/>
          <w:color w:val="212121"/>
          <w:szCs w:val="24"/>
        </w:rPr>
        <w:tab/>
        <w:t>Anonymity also prevents a court from “fulfill[</w:t>
      </w:r>
      <w:proofErr w:type="spellStart"/>
      <w:r>
        <w:rPr>
          <w:rFonts w:ascii="Times New Roman" w:hAnsi="Times New Roman"/>
          <w:color w:val="212121"/>
          <w:szCs w:val="24"/>
        </w:rPr>
        <w:t>ing</w:t>
      </w:r>
      <w:proofErr w:type="spellEnd"/>
      <w:r>
        <w:rPr>
          <w:rFonts w:ascii="Times New Roman" w:hAnsi="Times New Roman"/>
          <w:color w:val="212121"/>
          <w:szCs w:val="24"/>
        </w:rPr>
        <w:t xml:space="preserve">] its statutory obligations to check for conflicts of interest.” </w:t>
      </w:r>
      <w:proofErr w:type="spellStart"/>
      <w:r w:rsidRPr="002C62A8">
        <w:rPr>
          <w:rFonts w:ascii="Times New Roman" w:hAnsi="Times New Roman"/>
          <w:color w:val="212121"/>
          <w:szCs w:val="24"/>
          <w:u w:val="single"/>
        </w:rPr>
        <w:t>Publicola</w:t>
      </w:r>
      <w:proofErr w:type="spellEnd"/>
      <w:r w:rsidRPr="002C62A8">
        <w:rPr>
          <w:rFonts w:ascii="Times New Roman" w:hAnsi="Times New Roman"/>
          <w:color w:val="212121"/>
          <w:szCs w:val="24"/>
          <w:u w:val="single"/>
        </w:rPr>
        <w:t xml:space="preserve"> v. Lomenzo</w:t>
      </w:r>
      <w:r w:rsidRPr="002C62A8">
        <w:rPr>
          <w:rFonts w:ascii="Times New Roman" w:hAnsi="Times New Roman"/>
          <w:color w:val="212121"/>
          <w:szCs w:val="24"/>
        </w:rPr>
        <w:t>, 54 F.4th 108, 112 (2d Cir. 2022)</w:t>
      </w:r>
      <w:r>
        <w:rPr>
          <w:rFonts w:ascii="Times New Roman" w:hAnsi="Times New Roman"/>
          <w:color w:val="212121"/>
          <w:szCs w:val="24"/>
        </w:rPr>
        <w:t xml:space="preserve"> (citing 28 U.S.C. §§1 44, 455). Disclosure would reveal whether plaintiff’s counsel is involved in the funding agreement or holds any interest in (or relationship with) the funding entity, which would allow the Court to determine whether this involvement breaches applicable professional conduct rules </w:t>
      </w:r>
      <w:r>
        <w:rPr>
          <w:rFonts w:ascii="Times New Roman" w:hAnsi="Times New Roman"/>
          <w:color w:val="000000"/>
          <w:szCs w:val="24"/>
        </w:rPr>
        <w:t>(</w:t>
      </w:r>
      <w:r>
        <w:rPr>
          <w:rFonts w:ascii="Times New Roman" w:hAnsi="Times New Roman"/>
          <w:szCs w:val="24"/>
        </w:rPr>
        <w:t>NYC Bar Report 2020</w:t>
      </w:r>
      <w:r>
        <w:rPr>
          <w:rFonts w:ascii="Times New Roman" w:hAnsi="Times New Roman"/>
          <w:color w:val="000000"/>
          <w:szCs w:val="24"/>
        </w:rPr>
        <w:t xml:space="preserve"> at 21)</w:t>
      </w:r>
      <w:r>
        <w:rPr>
          <w:rStyle w:val="FootnoteReference"/>
          <w:rFonts w:ascii="Times New Roman" w:hAnsi="Times New Roman"/>
          <w:color w:val="000000"/>
          <w:szCs w:val="24"/>
        </w:rPr>
        <w:footnoteReference w:id="10"/>
      </w:r>
      <w:r>
        <w:rPr>
          <w:rFonts w:ascii="Times New Roman" w:hAnsi="Times New Roman"/>
          <w:color w:val="000000"/>
          <w:szCs w:val="24"/>
        </w:rPr>
        <w:t xml:space="preserve">. </w:t>
      </w:r>
      <w:r>
        <w:rPr>
          <w:rFonts w:ascii="Times New Roman" w:hAnsi="Times New Roman"/>
          <w:color w:val="000000"/>
          <w:szCs w:val="24"/>
          <w:u w:val="single"/>
        </w:rPr>
        <w:t>See, e.g.</w:t>
      </w:r>
      <w:r>
        <w:rPr>
          <w:rFonts w:ascii="Times New Roman" w:hAnsi="Times New Roman"/>
          <w:color w:val="000000"/>
          <w:szCs w:val="24"/>
        </w:rPr>
        <w:t xml:space="preserve">, </w:t>
      </w:r>
      <w:r>
        <w:rPr>
          <w:rFonts w:ascii="Times New Roman" w:hAnsi="Times New Roman"/>
          <w:color w:val="000000"/>
          <w:szCs w:val="24"/>
          <w:u w:val="single"/>
          <w14:ligatures w14:val="none"/>
        </w:rPr>
        <w:t>S.D. v. St. Luke’s Cornwall Hosp.</w:t>
      </w:r>
      <w:r>
        <w:rPr>
          <w:rFonts w:ascii="Times New Roman" w:hAnsi="Times New Roman"/>
          <w:color w:val="000000"/>
          <w:szCs w:val="24"/>
          <w14:ligatures w14:val="none"/>
        </w:rPr>
        <w:t xml:space="preserve">, 63 Misc.3d 384, 409 (Sup. Ct., Orange County 2019) (court only discovered existence of improper funding agreement and plaintiff’s counsel’s relationship with funding company owned by brother by mere happenstance during efforts surrounding infant compromise hearing investigation; court voided funding agreement); </w:t>
      </w:r>
      <w:r>
        <w:rPr>
          <w:rFonts w:ascii="Times New Roman" w:hAnsi="Times New Roman"/>
          <w:color w:val="000000"/>
          <w:szCs w:val="24"/>
          <w:u w:val="single"/>
          <w14:ligatures w14:val="none"/>
        </w:rPr>
        <w:t>In re Cellino</w:t>
      </w:r>
      <w:r>
        <w:rPr>
          <w:rFonts w:ascii="Times New Roman" w:hAnsi="Times New Roman"/>
          <w:color w:val="000000"/>
          <w:szCs w:val="24"/>
          <w14:ligatures w14:val="none"/>
        </w:rPr>
        <w:t>, 21 A.D.3d 229, 230 (2005) (</w:t>
      </w:r>
      <w:r>
        <w:rPr>
          <w:rFonts w:ascii="Times New Roman" w:hAnsi="Times New Roman"/>
          <w:color w:val="212121"/>
          <w:szCs w:val="24"/>
        </w:rPr>
        <w:t>sanctioning attorney for referring clients to a TPLF owned by his cousin but established, funded and controlled by the attorney</w:t>
      </w:r>
      <w:r>
        <w:rPr>
          <w:rFonts w:ascii="Times New Roman" w:hAnsi="Times New Roman"/>
          <w:color w:val="000000"/>
          <w:szCs w:val="24"/>
          <w14:ligatures w14:val="none"/>
        </w:rPr>
        <w:t>).</w:t>
      </w:r>
    </w:p>
    <w:p w14:paraId="08CE7275" w14:textId="77777777" w:rsidR="001A1E39" w:rsidRPr="00D46F70" w:rsidRDefault="001A1E39" w:rsidP="001A1E39">
      <w:pPr>
        <w:spacing w:line="480" w:lineRule="auto"/>
        <w:ind w:firstLine="720"/>
        <w:contextualSpacing/>
        <w:jc w:val="both"/>
        <w:rPr>
          <w:rFonts w:ascii="Times New Roman" w:hAnsi="Times New Roman"/>
          <w:color w:val="212121"/>
          <w:szCs w:val="24"/>
          <w14:ligatures w14:val="none"/>
        </w:rPr>
      </w:pPr>
      <w:r>
        <w:rPr>
          <w:rFonts w:ascii="Times New Roman" w:hAnsi="Times New Roman"/>
          <w:color w:val="000000"/>
          <w:szCs w:val="24"/>
          <w14:ligatures w14:val="none"/>
        </w:rPr>
        <w:t>x.</w:t>
      </w:r>
      <w:r>
        <w:rPr>
          <w:rFonts w:ascii="Times New Roman" w:hAnsi="Times New Roman"/>
          <w:color w:val="000000"/>
          <w:szCs w:val="24"/>
          <w14:ligatures w14:val="none"/>
        </w:rPr>
        <w:tab/>
        <w:t xml:space="preserve">Beyond this, TPLF is a potential collateral source. Defendants are entitled to such information under CPLR 4545, which is why at least one New York court has mandated disclosure on this basis. </w:t>
      </w:r>
      <w:r w:rsidRPr="00450201">
        <w:rPr>
          <w:rFonts w:ascii="Times New Roman" w:hAnsi="Times New Roman"/>
          <w:color w:val="000000"/>
          <w:szCs w:val="24"/>
          <w:u w:val="single"/>
          <w14:ligatures w14:val="none"/>
        </w:rPr>
        <w:t>See</w:t>
      </w:r>
      <w:r>
        <w:rPr>
          <w:rFonts w:ascii="Times New Roman" w:hAnsi="Times New Roman"/>
          <w:color w:val="000000"/>
          <w:szCs w:val="24"/>
          <w14:ligatures w14:val="none"/>
        </w:rPr>
        <w:t xml:space="preserve"> </w:t>
      </w:r>
      <w:r w:rsidRPr="009922CD">
        <w:rPr>
          <w:rFonts w:ascii="Times New Roman" w:hAnsi="Times New Roman"/>
          <w:color w:val="212121"/>
          <w:szCs w:val="24"/>
          <w:u w:val="single"/>
          <w14:ligatures w14:val="none"/>
        </w:rPr>
        <w:t>Izquierdo v. Amsterdam Ave. Redevelopment Assocs. LLC</w:t>
      </w:r>
      <w:r w:rsidRPr="00272D63">
        <w:rPr>
          <w:rFonts w:ascii="Times New Roman" w:hAnsi="Times New Roman"/>
          <w:color w:val="212121"/>
          <w:szCs w:val="24"/>
          <w14:ligatures w14:val="none"/>
        </w:rPr>
        <w:t>, 2025 N.Y. Misc. LEXIS 491, *8-9</w:t>
      </w:r>
      <w:r>
        <w:rPr>
          <w:rFonts w:ascii="Times New Roman" w:hAnsi="Times New Roman"/>
          <w:color w:val="212121"/>
          <w:szCs w:val="24"/>
          <w14:ligatures w14:val="none"/>
        </w:rPr>
        <w:t xml:space="preserve"> (N.Y. Co. Sup. Ct. 2025) (“</w:t>
      </w:r>
      <w:r w:rsidRPr="00272D63">
        <w:rPr>
          <w:rFonts w:ascii="Times New Roman" w:hAnsi="Times New Roman"/>
          <w:color w:val="212121"/>
          <w:szCs w:val="24"/>
          <w14:ligatures w14:val="none"/>
        </w:rPr>
        <w:t>if any portion of plaintiff's litigation funding constitutes a collateral source under CPLR 4545, it is relevant to ECDNY</w:t>
      </w:r>
      <w:r>
        <w:rPr>
          <w:rFonts w:ascii="Times New Roman" w:hAnsi="Times New Roman"/>
          <w:color w:val="212121"/>
          <w:szCs w:val="24"/>
          <w14:ligatures w14:val="none"/>
        </w:rPr>
        <w:t>’</w:t>
      </w:r>
      <w:r w:rsidRPr="00272D63">
        <w:rPr>
          <w:rFonts w:ascii="Times New Roman" w:hAnsi="Times New Roman"/>
          <w:color w:val="212121"/>
          <w:szCs w:val="24"/>
          <w14:ligatures w14:val="none"/>
        </w:rPr>
        <w:t>s defense and is discoverable under CPLR 3101 (a).</w:t>
      </w:r>
      <w:r>
        <w:rPr>
          <w:rFonts w:ascii="Times New Roman" w:hAnsi="Times New Roman"/>
          <w:color w:val="212121"/>
          <w:szCs w:val="24"/>
          <w14:ligatures w14:val="none"/>
        </w:rPr>
        <w:t>”).</w:t>
      </w:r>
    </w:p>
    <w:p w14:paraId="7309A5AD" w14:textId="77777777" w:rsidR="001A1E39" w:rsidRPr="005743CF" w:rsidRDefault="001A1E39" w:rsidP="001A1E39">
      <w:pPr>
        <w:spacing w:line="480" w:lineRule="auto"/>
        <w:ind w:firstLine="720"/>
        <w:contextualSpacing/>
        <w:jc w:val="both"/>
        <w:rPr>
          <w:rFonts w:ascii="Times New Roman" w:hAnsi="Times New Roman"/>
          <w:color w:val="212121"/>
          <w:szCs w:val="24"/>
          <w14:ligatures w14:val="none"/>
        </w:rPr>
      </w:pPr>
      <w:r>
        <w:rPr>
          <w:rFonts w:ascii="Times New Roman" w:hAnsi="Times New Roman"/>
          <w:color w:val="212121"/>
          <w:szCs w:val="24"/>
          <w14:ligatures w14:val="none"/>
        </w:rPr>
        <w:t>x.</w:t>
      </w:r>
      <w:r>
        <w:rPr>
          <w:rFonts w:ascii="Times New Roman" w:hAnsi="Times New Roman"/>
          <w:color w:val="212121"/>
          <w:szCs w:val="24"/>
          <w14:ligatures w14:val="none"/>
        </w:rPr>
        <w:tab/>
        <w:t>These factors provide additional grounds for defendants’ entitlement to plaintiff’s TPLF documentation and related information.</w:t>
      </w:r>
    </w:p>
    <w:p w14:paraId="5425E05F" w14:textId="77777777" w:rsidR="001A1E39" w:rsidRDefault="001A1E39" w:rsidP="001A1E39">
      <w:pPr>
        <w:spacing w:line="480" w:lineRule="auto"/>
        <w:contextualSpacing/>
        <w:jc w:val="center"/>
        <w:rPr>
          <w:rFonts w:ascii="Times New Roman" w:hAnsi="Times New Roman"/>
          <w:szCs w:val="24"/>
          <w:u w:val="single"/>
          <w:bdr w:val="none" w:sz="0" w:space="0" w:color="auto" w:frame="1"/>
          <w14:ligatures w14:val="none"/>
        </w:rPr>
      </w:pPr>
      <w:r>
        <w:rPr>
          <w:rFonts w:ascii="Times New Roman" w:hAnsi="Times New Roman"/>
          <w:szCs w:val="24"/>
          <w:u w:val="single"/>
          <w:bdr w:val="none" w:sz="0" w:space="0" w:color="auto" w:frame="1"/>
          <w14:ligatures w14:val="none"/>
        </w:rPr>
        <w:t>CONCLUSION</w:t>
      </w:r>
    </w:p>
    <w:p w14:paraId="73E643EB" w14:textId="1C319A5B" w:rsidR="001A1E39" w:rsidRPr="00CC767B" w:rsidRDefault="001A1E39" w:rsidP="00CC767B">
      <w:pPr>
        <w:spacing w:line="480" w:lineRule="auto"/>
        <w:ind w:firstLine="720"/>
        <w:contextualSpacing/>
        <w:jc w:val="both"/>
        <w:textAlignment w:val="baseline"/>
        <w:rPr>
          <w:rFonts w:ascii="Times New Roman" w:hAnsi="Times New Roman"/>
          <w:szCs w:val="24"/>
          <w:bdr w:val="none" w:sz="0" w:space="0" w:color="auto" w:frame="1"/>
        </w:rPr>
      </w:pPr>
      <w:r>
        <w:rPr>
          <w:rFonts w:ascii="Times New Roman" w:hAnsi="Times New Roman"/>
          <w:szCs w:val="24"/>
          <w:bdr w:val="none" w:sz="0" w:space="0" w:color="auto" w:frame="1"/>
          <w14:ligatures w14:val="none"/>
        </w:rPr>
        <w:t>x.</w:t>
      </w:r>
      <w:r>
        <w:rPr>
          <w:rFonts w:ascii="Times New Roman" w:hAnsi="Times New Roman"/>
          <w:szCs w:val="24"/>
          <w:bdr w:val="none" w:sz="0" w:space="0" w:color="auto" w:frame="1"/>
          <w14:ligatures w14:val="none"/>
        </w:rPr>
        <w:tab/>
        <w:t xml:space="preserve">For the foregoing reasons, this Court should </w:t>
      </w:r>
      <w:r>
        <w:rPr>
          <w:rFonts w:ascii="Times New Roman" w:hAnsi="Times New Roman"/>
          <w:szCs w:val="24"/>
          <w:bdr w:val="none" w:sz="0" w:space="0" w:color="auto" w:frame="1"/>
        </w:rPr>
        <w:t xml:space="preserve">grant the requested relief. </w:t>
      </w:r>
    </w:p>
    <w:p w14:paraId="59A698F6" w14:textId="77777777" w:rsidR="001A1E39" w:rsidRPr="00527868" w:rsidRDefault="001A1E39" w:rsidP="001A1E39">
      <w:pPr>
        <w:ind w:left="5040"/>
        <w:contextualSpacing/>
        <w:rPr>
          <w:rFonts w:ascii="Times New Roman" w:eastAsia="Calibri" w:hAnsi="Times New Roman"/>
          <w:iCs/>
        </w:rPr>
      </w:pPr>
    </w:p>
    <w:p w14:paraId="67470742" w14:textId="77777777" w:rsidR="001A1E39" w:rsidRDefault="001A1E39" w:rsidP="001A1E39"/>
    <w:p w14:paraId="2AEE4C6A" w14:textId="77777777" w:rsidR="001A1E39" w:rsidRPr="00317F08" w:rsidRDefault="001A1E39" w:rsidP="001A1E39">
      <w:pPr>
        <w:rPr>
          <w:rFonts w:ascii="Times New Roman" w:eastAsia="Aptos" w:hAnsi="Times New Roman"/>
          <w:kern w:val="2"/>
          <w:szCs w:val="24"/>
        </w:rPr>
      </w:pPr>
    </w:p>
    <w:p w14:paraId="3153AAED" w14:textId="77777777" w:rsidR="00A82372" w:rsidRDefault="00A82372"/>
    <w:sectPr w:rsidR="00A823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D9A1" w14:textId="77777777" w:rsidR="00D92BFA" w:rsidRDefault="00D92BFA" w:rsidP="001A1E39">
      <w:r>
        <w:separator/>
      </w:r>
    </w:p>
  </w:endnote>
  <w:endnote w:type="continuationSeparator" w:id="0">
    <w:p w14:paraId="403B78E0" w14:textId="77777777" w:rsidR="00D92BFA" w:rsidRDefault="00D92BFA" w:rsidP="001A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0140" w14:textId="77777777" w:rsidR="00D92BFA" w:rsidRDefault="00D92BFA" w:rsidP="001A1E39">
      <w:r>
        <w:separator/>
      </w:r>
    </w:p>
  </w:footnote>
  <w:footnote w:type="continuationSeparator" w:id="0">
    <w:p w14:paraId="6AB74480" w14:textId="77777777" w:rsidR="00D92BFA" w:rsidRDefault="00D92BFA" w:rsidP="001A1E39">
      <w:r>
        <w:continuationSeparator/>
      </w:r>
    </w:p>
  </w:footnote>
  <w:footnote w:id="1">
    <w:p w14:paraId="12F64565" w14:textId="77777777" w:rsidR="001A1E39" w:rsidRDefault="001A1E39" w:rsidP="001A1E39">
      <w:pPr>
        <w:autoSpaceDE w:val="0"/>
        <w:autoSpaceDN w:val="0"/>
        <w:adjustRightInd w:val="0"/>
        <w:jc w:val="both"/>
        <w:rPr>
          <w:rFonts w:ascii="Times New Roman" w:hAnsi="Times New Roman"/>
          <w:sz w:val="20"/>
        </w:rPr>
      </w:pPr>
      <w:r>
        <w:rPr>
          <w:rStyle w:val="FootnoteReference"/>
          <w:rFonts w:ascii="Times New Roman" w:hAnsi="Times New Roman"/>
        </w:rPr>
        <w:footnoteRef/>
      </w:r>
      <w:r>
        <w:rPr>
          <w:rFonts w:ascii="Times New Roman" w:hAnsi="Times New Roman"/>
          <w:sz w:val="20"/>
        </w:rPr>
        <w:t xml:space="preserve"> Hereinafter, “GAO.” Available at </w:t>
      </w:r>
      <w:hyperlink r:id="rId1" w:history="1">
        <w:r>
          <w:rPr>
            <w:rStyle w:val="Hyperlink"/>
            <w:rFonts w:ascii="Times New Roman" w:hAnsi="Times New Roman"/>
          </w:rPr>
          <w:t>https://www.gao.gov/assets/gao-23-105210.pdf</w:t>
        </w:r>
      </w:hyperlink>
      <w:r>
        <w:rPr>
          <w:rFonts w:ascii="Times New Roman" w:hAnsi="Times New Roman"/>
          <w:sz w:val="20"/>
        </w:rPr>
        <w:t xml:space="preserve"> </w:t>
      </w:r>
    </w:p>
    <w:p w14:paraId="0CD0E0BA" w14:textId="77777777" w:rsidR="001A1E39" w:rsidRDefault="001A1E39" w:rsidP="001A1E39">
      <w:pPr>
        <w:autoSpaceDE w:val="0"/>
        <w:autoSpaceDN w:val="0"/>
        <w:adjustRightInd w:val="0"/>
        <w:jc w:val="both"/>
        <w:rPr>
          <w:rFonts w:ascii="Times New Roman" w:hAnsi="Times New Roman"/>
          <w:sz w:val="20"/>
        </w:rPr>
      </w:pPr>
    </w:p>
  </w:footnote>
  <w:footnote w:id="2">
    <w:p w14:paraId="4449F96A" w14:textId="77777777" w:rsidR="001A1E39" w:rsidRPr="00B96AE3" w:rsidRDefault="001A1E39" w:rsidP="001A1E39">
      <w:pPr>
        <w:pStyle w:val="FootnoteText"/>
        <w:jc w:val="both"/>
        <w:rPr>
          <w:rFonts w:ascii="Times New Roman" w:hAnsi="Times New Roman" w:cs="Times New Roman"/>
        </w:rPr>
      </w:pPr>
      <w:r w:rsidRPr="00B96AE3">
        <w:rPr>
          <w:rStyle w:val="FootnoteReference"/>
          <w:rFonts w:ascii="Times New Roman" w:hAnsi="Times New Roman" w:cs="Times New Roman"/>
        </w:rPr>
        <w:footnoteRef/>
      </w:r>
      <w:r w:rsidRPr="00B96AE3">
        <w:rPr>
          <w:rFonts w:ascii="Times New Roman" w:hAnsi="Times New Roman" w:cs="Times New Roman"/>
        </w:rPr>
        <w:t xml:space="preserve"> Again, the reason </w:t>
      </w:r>
      <w:r>
        <w:rPr>
          <w:rFonts w:ascii="Times New Roman" w:hAnsi="Times New Roman" w:cs="Times New Roman"/>
        </w:rPr>
        <w:t xml:space="preserve">a </w:t>
      </w:r>
      <w:r w:rsidRPr="00B96AE3">
        <w:rPr>
          <w:rFonts w:ascii="Times New Roman" w:hAnsi="Times New Roman" w:cs="Times New Roman"/>
        </w:rPr>
        <w:t>funding company</w:t>
      </w:r>
      <w:r>
        <w:rPr>
          <w:rFonts w:ascii="Times New Roman" w:hAnsi="Times New Roman" w:cs="Times New Roman"/>
        </w:rPr>
        <w:t xml:space="preserve"> would impose </w:t>
      </w:r>
      <w:r w:rsidRPr="00B96AE3">
        <w:rPr>
          <w:rFonts w:ascii="Times New Roman" w:hAnsi="Times New Roman" w:cs="Times New Roman"/>
        </w:rPr>
        <w:t>such a condition is self-evident: undergoing surgery</w:t>
      </w:r>
      <w:r>
        <w:rPr>
          <w:rFonts w:ascii="Times New Roman" w:hAnsi="Times New Roman" w:cs="Times New Roman"/>
        </w:rPr>
        <w:t xml:space="preserve"> (or any medical care)</w:t>
      </w:r>
      <w:r w:rsidRPr="00B96AE3">
        <w:rPr>
          <w:rFonts w:ascii="Times New Roman" w:hAnsi="Times New Roman" w:cs="Times New Roman"/>
        </w:rPr>
        <w:t xml:space="preserve"> drives up the amount of a plaintiff’s recovery, thereby ensuring the profitability of the funder’s investment. The default presumption</w:t>
      </w:r>
      <w:r>
        <w:rPr>
          <w:rFonts w:ascii="Times New Roman" w:hAnsi="Times New Roman" w:cs="Times New Roman"/>
        </w:rPr>
        <w:t>, therefore,</w:t>
      </w:r>
      <w:r w:rsidRPr="00B96AE3">
        <w:rPr>
          <w:rFonts w:ascii="Times New Roman" w:hAnsi="Times New Roman" w:cs="Times New Roman"/>
        </w:rPr>
        <w:t xml:space="preserve"> must be that such conditions exist in all litigation funding agreements</w:t>
      </w:r>
      <w:r>
        <w:rPr>
          <w:rFonts w:ascii="Times New Roman" w:hAnsi="Times New Roman" w:cs="Times New Roman"/>
        </w:rPr>
        <w:t xml:space="preserve">, placing the burden on the plaintiff – the only party with access to the agreement(s) – to rebut this presumption by producing the agreements, and any related documentation, in discovery.  </w:t>
      </w:r>
    </w:p>
  </w:footnote>
  <w:footnote w:id="3">
    <w:p w14:paraId="64F23A09" w14:textId="77777777" w:rsidR="001A1E39" w:rsidRDefault="001A1E39" w:rsidP="001A1E3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2" w:history="1">
        <w:r w:rsidRPr="00710408">
          <w:rPr>
            <w:rStyle w:val="Hyperlink"/>
            <w:rFonts w:ascii="Times New Roman" w:hAnsi="Times New Roman" w:cs="Times New Roman"/>
          </w:rPr>
          <w:t>https://www.nycourts.gov/LegacyPDFS/COURTS/11jd/supreme/civilterm/bar_notice.pdf</w:t>
        </w:r>
      </w:hyperlink>
      <w:r>
        <w:rPr>
          <w:rFonts w:ascii="Times New Roman" w:hAnsi="Times New Roman" w:cs="Times New Roman"/>
        </w:rPr>
        <w:t xml:space="preserve"> </w:t>
      </w:r>
    </w:p>
  </w:footnote>
  <w:footnote w:id="4">
    <w:p w14:paraId="3BA96601" w14:textId="77777777" w:rsidR="001A1E39" w:rsidRDefault="001A1E39" w:rsidP="001A1E3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3" w:history="1">
        <w:r w:rsidRPr="00710408">
          <w:rPr>
            <w:rStyle w:val="Hyperlink"/>
            <w:rFonts w:ascii="Times New Roman" w:hAnsi="Times New Roman" w:cs="Times New Roman"/>
          </w:rPr>
          <w:t>https://www.nycourts.gov/LegacyPDFS/COURTS/11jd/supreme/civilterm/comp_conf_stip_order.pdf</w:t>
        </w:r>
      </w:hyperlink>
      <w:r>
        <w:rPr>
          <w:rFonts w:ascii="Times New Roman" w:hAnsi="Times New Roman" w:cs="Times New Roman"/>
        </w:rPr>
        <w:t xml:space="preserve"> </w:t>
      </w:r>
    </w:p>
  </w:footnote>
  <w:footnote w:id="5">
    <w:p w14:paraId="6CBAFC11" w14:textId="77777777" w:rsidR="001A1E39" w:rsidRDefault="001A1E39" w:rsidP="001A1E39">
      <w:pPr>
        <w:pStyle w:val="FootnoteText"/>
        <w:jc w:val="both"/>
        <w:rPr>
          <w:rFonts w:ascii="Times New Roman" w:hAnsi="Times New Roman" w:cs="Times New Roman"/>
        </w:rPr>
      </w:pPr>
      <w:r>
        <w:rPr>
          <w:rStyle w:val="FootnoteReference"/>
          <w:rFonts w:ascii="Times New Roman" w:hAnsi="Times New Roman" w:cs="Times New Roman"/>
        </w:rPr>
        <w:footnoteRef/>
      </w:r>
      <w:hyperlink r:id="rId4" w:history="1">
        <w:r w:rsidRPr="00710408">
          <w:rPr>
            <w:rStyle w:val="Hyperlink"/>
            <w:rFonts w:ascii="Times New Roman" w:hAnsi="Times New Roman" w:cs="Times New Roman"/>
          </w:rPr>
          <w:t>https://ww2.nycourts.gov/sites/default/files/document/files/2020-10/SCP-Confidential%20Worksheet-fillable_0.pdf</w:t>
        </w:r>
      </w:hyperlink>
      <w:r>
        <w:rPr>
          <w:rFonts w:ascii="Times New Roman" w:hAnsi="Times New Roman" w:cs="Times New Roman"/>
        </w:rPr>
        <w:t xml:space="preserve"> </w:t>
      </w:r>
    </w:p>
  </w:footnote>
  <w:footnote w:id="6">
    <w:p w14:paraId="5C6511DC" w14:textId="77777777" w:rsidR="001A1E39" w:rsidRDefault="001A1E39" w:rsidP="001A1E3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U.S.D.C. of New Jersey, Local Rule 7.1.1 (disclosure of third-party litigation funding)</w:t>
      </w:r>
      <w:r>
        <w:rPr>
          <w:rFonts w:ascii="Times New Roman" w:hAnsi="Times New Roman" w:cs="Times New Roman"/>
          <w:i/>
          <w:iCs/>
        </w:rPr>
        <w:t xml:space="preserve">. </w:t>
      </w:r>
      <w:r>
        <w:rPr>
          <w:rFonts w:ascii="Times New Roman" w:hAnsi="Times New Roman" w:cs="Times New Roman"/>
        </w:rPr>
        <w:t xml:space="preserve">Available at </w:t>
      </w:r>
      <w:hyperlink r:id="rId5" w:history="1">
        <w:r>
          <w:rPr>
            <w:rStyle w:val="Hyperlink"/>
            <w:rFonts w:ascii="Times New Roman" w:hAnsi="Times New Roman" w:cs="Times New Roman"/>
          </w:rPr>
          <w:t>https://www.njd.uscourts.gov/sites/njd/files/CompleteLocalRules.pdf</w:t>
        </w:r>
      </w:hyperlink>
      <w:r>
        <w:rPr>
          <w:rFonts w:ascii="Times New Roman" w:hAnsi="Times New Roman" w:cs="Times New Roman"/>
        </w:rPr>
        <w:t xml:space="preserve">; U.S.D.C. of Delaware Standing Order Regarding Third-Party Litigation Funding Arrangements available at </w:t>
      </w:r>
      <w:hyperlink r:id="rId6" w:history="1">
        <w:r>
          <w:rPr>
            <w:rStyle w:val="Hyperlink"/>
            <w:rFonts w:ascii="Times New Roman" w:hAnsi="Times New Roman" w:cs="Times New Roman"/>
          </w:rPr>
          <w:t>https://www.ded.uscourts.gov/sites/ded/files/Standing%20Order%20Regarding%20Third-Party%20Litigation%20Funding.pdf</w:t>
        </w:r>
      </w:hyperlink>
      <w:r>
        <w:rPr>
          <w:rFonts w:ascii="Times New Roman" w:hAnsi="Times New Roman" w:cs="Times New Roman"/>
        </w:rPr>
        <w:t>; U.S.D.C. N.D. Cal., Standing Order for all Judges of the Northern District</w:t>
      </w:r>
    </w:p>
    <w:p w14:paraId="2C6AFE2A" w14:textId="77777777" w:rsidR="001A1E39" w:rsidRDefault="001A1E39" w:rsidP="001A1E39">
      <w:pPr>
        <w:pStyle w:val="FootnoteText"/>
        <w:jc w:val="both"/>
        <w:rPr>
          <w:rFonts w:ascii="Times New Roman" w:hAnsi="Times New Roman" w:cs="Times New Roman"/>
        </w:rPr>
      </w:pPr>
      <w:r>
        <w:rPr>
          <w:rFonts w:ascii="Times New Roman" w:hAnsi="Times New Roman" w:cs="Times New Roman"/>
        </w:rPr>
        <w:t xml:space="preserve">of California on the Contents of Joint Case Management System, § 19 (eff. Nov. 1, 2018). </w:t>
      </w:r>
    </w:p>
  </w:footnote>
  <w:footnote w:id="7">
    <w:p w14:paraId="1FA5518C" w14:textId="77777777" w:rsidR="001A1E39" w:rsidRDefault="001A1E39" w:rsidP="001A1E3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7" w:history="1">
        <w:r>
          <w:rPr>
            <w:rStyle w:val="Hyperlink"/>
            <w:rFonts w:ascii="Times New Roman" w:hAnsi="Times New Roman" w:cs="Times New Roman"/>
          </w:rPr>
          <w:t>https://www2.nycbar.org/pdf/report/uploads/20072132-FormalOpinion2011-2Third-partyLitigationFinancing.pdf at 7</w:t>
        </w:r>
      </w:hyperlink>
      <w:r>
        <w:rPr>
          <w:rFonts w:ascii="Times New Roman" w:hAnsi="Times New Roman" w:cs="Times New Roman"/>
        </w:rPr>
        <w:t xml:space="preserve">; </w:t>
      </w:r>
      <w:r>
        <w:rPr>
          <w:rFonts w:ascii="Times New Roman" w:hAnsi="Times New Roman" w:cs="Times New Roman"/>
          <w:u w:val="single"/>
        </w:rPr>
        <w:t>Bivins v. Slock</w:t>
      </w:r>
      <w:r>
        <w:rPr>
          <w:rFonts w:ascii="Times New Roman" w:hAnsi="Times New Roman" w:cs="Times New Roman"/>
        </w:rPr>
        <w:t>, No. GD-16-009862, 2018 Pa. Dist. &amp; Cnty. Dec. LEXIS 9040 (Allegheny Cnty. Sept. 17, 2018).</w:t>
      </w:r>
    </w:p>
  </w:footnote>
  <w:footnote w:id="8">
    <w:p w14:paraId="24363BDB" w14:textId="77777777" w:rsidR="001A1E39" w:rsidRDefault="001A1E39" w:rsidP="001A1E3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Unsurprisingly, the American Bar Association disapproves of such arrangements and recommends that funding agreements be drafted to ensure that the plaintiff retains “control of key litigation decisions, including with respect to settlement.” ABA at 12-13.</w:t>
      </w:r>
    </w:p>
    <w:p w14:paraId="4FA30BC9" w14:textId="77777777" w:rsidR="001A1E39" w:rsidRDefault="001A1E39" w:rsidP="001A1E39">
      <w:pPr>
        <w:pStyle w:val="FootnoteText"/>
        <w:jc w:val="both"/>
        <w:rPr>
          <w:rFonts w:ascii="Times New Roman" w:hAnsi="Times New Roman" w:cs="Times New Roman"/>
        </w:rPr>
      </w:pPr>
    </w:p>
  </w:footnote>
  <w:footnote w:id="9">
    <w:p w14:paraId="3D0805F2" w14:textId="77777777" w:rsidR="001A1E39" w:rsidRDefault="001A1E39" w:rsidP="001A1E3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Yu Gothic UI Semilight" w:hAnsi="Times New Roman" w:cs="Times New Roman"/>
        </w:rPr>
        <w:t xml:space="preserve">The same is true for collateral source information such as Social Security Disability and Survivor Benefits, pension information, and no-fault insurance files. </w:t>
      </w:r>
      <w:r>
        <w:rPr>
          <w:rFonts w:ascii="Times New Roman" w:eastAsia="Yu Gothic UI Semilight" w:hAnsi="Times New Roman" w:cs="Times New Roman"/>
          <w:u w:val="single"/>
        </w:rPr>
        <w:t>See</w:t>
      </w:r>
      <w:r w:rsidRPr="00276F29">
        <w:rPr>
          <w:rFonts w:ascii="Times New Roman" w:eastAsia="Yu Gothic UI Semilight" w:hAnsi="Times New Roman" w:cs="Times New Roman"/>
          <w:u w:val="single"/>
        </w:rPr>
        <w:t>, e</w:t>
      </w:r>
      <w:r>
        <w:rPr>
          <w:rFonts w:ascii="Times New Roman" w:eastAsia="Yu Gothic UI Semilight" w:hAnsi="Times New Roman" w:cs="Times New Roman"/>
          <w:u w:val="single"/>
        </w:rPr>
        <w:t>.g.</w:t>
      </w:r>
      <w:r>
        <w:rPr>
          <w:rFonts w:ascii="Times New Roman" w:eastAsia="Yu Gothic UI Semilight" w:hAnsi="Times New Roman" w:cs="Times New Roman"/>
        </w:rPr>
        <w:t xml:space="preserve">, </w:t>
      </w:r>
      <w:r>
        <w:rPr>
          <w:rFonts w:ascii="Times New Roman" w:eastAsia="Yu Gothic UI Semilight" w:hAnsi="Times New Roman" w:cs="Times New Roman"/>
          <w:u w:val="single"/>
        </w:rPr>
        <w:t>Graziano v. Cagan</w:t>
      </w:r>
      <w:r>
        <w:rPr>
          <w:rFonts w:ascii="Times New Roman" w:eastAsia="Yu Gothic UI Semilight" w:hAnsi="Times New Roman" w:cs="Times New Roman"/>
        </w:rPr>
        <w:t xml:space="preserve">, 105 A.D.3d 701, 702 (2d Dep’t 2013); </w:t>
      </w:r>
      <w:r>
        <w:rPr>
          <w:rFonts w:ascii="Times New Roman" w:eastAsia="Yu Gothic UI Semilight" w:hAnsi="Times New Roman" w:cs="Times New Roman"/>
          <w:u w:val="single"/>
        </w:rPr>
        <w:t>Firmes v. Chase Manhattan Automotive Fin. Corp</w:t>
      </w:r>
      <w:r>
        <w:rPr>
          <w:rFonts w:ascii="Times New Roman" w:eastAsia="Yu Gothic UI Semilight" w:hAnsi="Times New Roman" w:cs="Times New Roman"/>
        </w:rPr>
        <w:t xml:space="preserve">., 50 A.D.3d 18, 36 (2d Dep’t 2008); </w:t>
      </w:r>
      <w:r>
        <w:rPr>
          <w:rFonts w:ascii="Times New Roman" w:eastAsia="Yu Gothic UI Semilight" w:hAnsi="Times New Roman" w:cs="Times New Roman"/>
          <w:u w:val="single"/>
        </w:rPr>
        <w:t>Fleming v. Bernauer</w:t>
      </w:r>
      <w:r>
        <w:rPr>
          <w:rFonts w:ascii="Times New Roman" w:eastAsia="Yu Gothic UI Semilight" w:hAnsi="Times New Roman" w:cs="Times New Roman"/>
        </w:rPr>
        <w:t xml:space="preserve">, 138 Misc.2d 267 (Sup. Ct. 1987); </w:t>
      </w:r>
      <w:r>
        <w:rPr>
          <w:rFonts w:ascii="Times New Roman" w:eastAsia="Yu Gothic UI Semilight" w:hAnsi="Times New Roman" w:cs="Times New Roman"/>
          <w:u w:val="single"/>
        </w:rPr>
        <w:t>Eaton v. Chahal</w:t>
      </w:r>
      <w:r>
        <w:rPr>
          <w:rFonts w:ascii="Times New Roman" w:eastAsia="Yu Gothic UI Semilight" w:hAnsi="Times New Roman" w:cs="Times New Roman"/>
        </w:rPr>
        <w:t xml:space="preserve">, 146 Misc.2d 977 (Sup. Ct. 1990). These forms of pre-trial discovery are permitted as an ultimate valuation aid in furtherance of New York’s public policy favoring settlement. </w:t>
      </w:r>
      <w:r>
        <w:rPr>
          <w:rFonts w:ascii="Times New Roman" w:hAnsi="Times New Roman" w:cs="Times New Roman"/>
        </w:rPr>
        <w:t xml:space="preserve">The same obtains for discovery of even confidential settlement agreements that may impact the subsequent trial and are therefore within the broad ambit of “material and necessary”. </w:t>
      </w:r>
      <w:r>
        <w:rPr>
          <w:rFonts w:ascii="Times New Roman" w:hAnsi="Times New Roman" w:cs="Times New Roman"/>
          <w:u w:val="single"/>
        </w:rPr>
        <w:t>See</w:t>
      </w:r>
      <w:r>
        <w:rPr>
          <w:rFonts w:ascii="Times New Roman" w:hAnsi="Times New Roman" w:cs="Times New Roman"/>
        </w:rPr>
        <w:t xml:space="preserve"> </w:t>
      </w:r>
      <w:r>
        <w:rPr>
          <w:rFonts w:ascii="Times New Roman" w:hAnsi="Times New Roman" w:cs="Times New Roman"/>
          <w:u w:val="single"/>
        </w:rPr>
        <w:t>Mahoney v. Turner Construction Co</w:t>
      </w:r>
      <w:r>
        <w:rPr>
          <w:rFonts w:ascii="Times New Roman" w:hAnsi="Times New Roman" w:cs="Times New Roman"/>
        </w:rPr>
        <w:t xml:space="preserve">., 61 A.D.3d 101 (1st Dep’t 2009) (citing cases). </w:t>
      </w:r>
    </w:p>
    <w:p w14:paraId="77D8EC47" w14:textId="77777777" w:rsidR="001A1E39" w:rsidRDefault="001A1E39" w:rsidP="001A1E39">
      <w:pPr>
        <w:pStyle w:val="FootnoteText"/>
        <w:jc w:val="both"/>
        <w:rPr>
          <w:rFonts w:ascii="Times New Roman" w:hAnsi="Times New Roman" w:cs="Times New Roman"/>
        </w:rPr>
      </w:pPr>
    </w:p>
  </w:footnote>
  <w:footnote w:id="10">
    <w:p w14:paraId="57ED580D" w14:textId="77777777" w:rsidR="001A1E39" w:rsidRDefault="001A1E39" w:rsidP="001A1E3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following Rules are relevant to the ethical framework surrounding commercial or direct-to-consumer litigation funding: Rule 1.1 – Competence; this may relate to ethical considerations for lawyers contemplating business arrangements with non-legal organizations and crowdfunding[;] Rule 1.2 – Scope of representation and allocation of authority[;] Rule 1.4 – Communication[;] Rule 1.5 – Fees and division of fees[;] Rule 1.6 – Confidentiality[;] Rule 1.7 – Conflicts of interest[;] Rule 1.8 – Duties to current clients[;] Rule 1.9 – Duties to former clients[;] Rule 1.10 – Imputation of conflicts of interest[;] Rule 1.13 – Organization as client[;] Rule 3.1 – Non-meritorious claims and contentions[;] Rule 5.4 – Professional independence of a lawyer[;] Rule 5.5 –Unauthorized practice of law[;] Rule 7.2 – Payment for referrals” </w:t>
      </w:r>
      <w:r>
        <w:rPr>
          <w:rFonts w:ascii="Times New Roman" w:hAnsi="Times New Roman" w:cs="Times New Roman"/>
          <w:u w:val="single"/>
        </w:rPr>
        <w:t>Id.</w:t>
      </w:r>
      <w:r>
        <w:rPr>
          <w:rFonts w:ascii="Times New Roman" w:hAnsi="Times New Roman" w:cs="Times New Roman"/>
        </w:rPr>
        <w:t xml:space="preserve"> at 21.</w:t>
      </w:r>
    </w:p>
    <w:p w14:paraId="4757D918" w14:textId="77777777" w:rsidR="001A1E39" w:rsidRDefault="001A1E39" w:rsidP="001A1E39">
      <w:pPr>
        <w:pStyle w:val="FootnoteText"/>
        <w:jc w:val="both"/>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1E39"/>
    <w:rsid w:val="00043172"/>
    <w:rsid w:val="0006302E"/>
    <w:rsid w:val="00092B9F"/>
    <w:rsid w:val="000A0829"/>
    <w:rsid w:val="00114203"/>
    <w:rsid w:val="001409E7"/>
    <w:rsid w:val="0015296D"/>
    <w:rsid w:val="001975EE"/>
    <w:rsid w:val="001A1E39"/>
    <w:rsid w:val="001C3727"/>
    <w:rsid w:val="00233A80"/>
    <w:rsid w:val="002F55FE"/>
    <w:rsid w:val="00375CC5"/>
    <w:rsid w:val="003B4B8E"/>
    <w:rsid w:val="0045126B"/>
    <w:rsid w:val="004F72FD"/>
    <w:rsid w:val="00501C7A"/>
    <w:rsid w:val="005C68D7"/>
    <w:rsid w:val="0067398A"/>
    <w:rsid w:val="006822C8"/>
    <w:rsid w:val="00760556"/>
    <w:rsid w:val="007D1FFC"/>
    <w:rsid w:val="008B6AAC"/>
    <w:rsid w:val="008D7242"/>
    <w:rsid w:val="00961A2A"/>
    <w:rsid w:val="009830E4"/>
    <w:rsid w:val="009E1B09"/>
    <w:rsid w:val="00A82372"/>
    <w:rsid w:val="00AB7710"/>
    <w:rsid w:val="00C02098"/>
    <w:rsid w:val="00C872F8"/>
    <w:rsid w:val="00C90778"/>
    <w:rsid w:val="00CC767B"/>
    <w:rsid w:val="00D27B64"/>
    <w:rsid w:val="00D7670E"/>
    <w:rsid w:val="00D8655B"/>
    <w:rsid w:val="00D92BFA"/>
    <w:rsid w:val="00E1688B"/>
    <w:rsid w:val="00E82ACA"/>
    <w:rsid w:val="00F614A0"/>
    <w:rsid w:val="00FE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C0DB"/>
  <w15:chartTrackingRefBased/>
  <w15:docId w15:val="{B1F904ED-DF30-4C11-9D52-7C8239CF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E39"/>
    <w:pPr>
      <w:spacing w:after="0" w:line="240" w:lineRule="auto"/>
    </w:pPr>
    <w:rPr>
      <w:rFonts w:ascii="Courier New" w:eastAsia="Times New Roman" w:hAnsi="Courier New" w:cs="Times New Roman"/>
      <w:kern w:val="0"/>
      <w:sz w:val="24"/>
      <w:szCs w:val="20"/>
    </w:rPr>
  </w:style>
  <w:style w:type="paragraph" w:styleId="Heading1">
    <w:name w:val="heading 1"/>
    <w:basedOn w:val="Normal"/>
    <w:next w:val="Normal"/>
    <w:link w:val="Heading1Char"/>
    <w:uiPriority w:val="9"/>
    <w:qFormat/>
    <w:rsid w:val="001A1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E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E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E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E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E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E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E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E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E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E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E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E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E39"/>
    <w:rPr>
      <w:rFonts w:eastAsiaTheme="majorEastAsia" w:cstheme="majorBidi"/>
      <w:color w:val="272727" w:themeColor="text1" w:themeTint="D8"/>
    </w:rPr>
  </w:style>
  <w:style w:type="paragraph" w:styleId="Title">
    <w:name w:val="Title"/>
    <w:basedOn w:val="Normal"/>
    <w:next w:val="Normal"/>
    <w:link w:val="TitleChar"/>
    <w:uiPriority w:val="10"/>
    <w:qFormat/>
    <w:rsid w:val="001A1E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E39"/>
    <w:pPr>
      <w:spacing w:before="160"/>
      <w:jc w:val="center"/>
    </w:pPr>
    <w:rPr>
      <w:i/>
      <w:iCs/>
      <w:color w:val="404040" w:themeColor="text1" w:themeTint="BF"/>
    </w:rPr>
  </w:style>
  <w:style w:type="character" w:customStyle="1" w:styleId="QuoteChar">
    <w:name w:val="Quote Char"/>
    <w:basedOn w:val="DefaultParagraphFont"/>
    <w:link w:val="Quote"/>
    <w:uiPriority w:val="29"/>
    <w:rsid w:val="001A1E39"/>
    <w:rPr>
      <w:i/>
      <w:iCs/>
      <w:color w:val="404040" w:themeColor="text1" w:themeTint="BF"/>
    </w:rPr>
  </w:style>
  <w:style w:type="paragraph" w:styleId="ListParagraph">
    <w:name w:val="List Paragraph"/>
    <w:basedOn w:val="Normal"/>
    <w:uiPriority w:val="34"/>
    <w:qFormat/>
    <w:rsid w:val="001A1E39"/>
    <w:pPr>
      <w:ind w:left="720"/>
      <w:contextualSpacing/>
    </w:pPr>
  </w:style>
  <w:style w:type="character" w:styleId="IntenseEmphasis">
    <w:name w:val="Intense Emphasis"/>
    <w:basedOn w:val="DefaultParagraphFont"/>
    <w:uiPriority w:val="21"/>
    <w:qFormat/>
    <w:rsid w:val="001A1E39"/>
    <w:rPr>
      <w:i/>
      <w:iCs/>
      <w:color w:val="0F4761" w:themeColor="accent1" w:themeShade="BF"/>
    </w:rPr>
  </w:style>
  <w:style w:type="paragraph" w:styleId="IntenseQuote">
    <w:name w:val="Intense Quote"/>
    <w:basedOn w:val="Normal"/>
    <w:next w:val="Normal"/>
    <w:link w:val="IntenseQuoteChar"/>
    <w:uiPriority w:val="30"/>
    <w:qFormat/>
    <w:rsid w:val="001A1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E39"/>
    <w:rPr>
      <w:i/>
      <w:iCs/>
      <w:color w:val="0F4761" w:themeColor="accent1" w:themeShade="BF"/>
    </w:rPr>
  </w:style>
  <w:style w:type="character" w:styleId="IntenseReference">
    <w:name w:val="Intense Reference"/>
    <w:basedOn w:val="DefaultParagraphFont"/>
    <w:uiPriority w:val="32"/>
    <w:qFormat/>
    <w:rsid w:val="001A1E39"/>
    <w:rPr>
      <w:b/>
      <w:bCs/>
      <w:smallCaps/>
      <w:color w:val="0F4761" w:themeColor="accent1" w:themeShade="BF"/>
      <w:spacing w:val="5"/>
    </w:rPr>
  </w:style>
  <w:style w:type="character" w:styleId="Hyperlink">
    <w:name w:val="Hyperlink"/>
    <w:basedOn w:val="DefaultParagraphFont"/>
    <w:uiPriority w:val="99"/>
    <w:unhideWhenUsed/>
    <w:rsid w:val="001A1E39"/>
    <w:rPr>
      <w:color w:val="467886" w:themeColor="hyperlink"/>
      <w:u w:val="single"/>
    </w:rPr>
  </w:style>
  <w:style w:type="paragraph" w:styleId="FootnoteText">
    <w:name w:val="footnote text"/>
    <w:basedOn w:val="Normal"/>
    <w:link w:val="FootnoteTextChar"/>
    <w:uiPriority w:val="99"/>
    <w:unhideWhenUsed/>
    <w:rsid w:val="001A1E39"/>
    <w:rPr>
      <w:rFonts w:asciiTheme="minorHAnsi" w:eastAsiaTheme="minorHAnsi" w:hAnsiTheme="minorHAnsi" w:cstheme="minorBidi"/>
      <w:kern w:val="2"/>
      <w:sz w:val="20"/>
    </w:rPr>
  </w:style>
  <w:style w:type="character" w:customStyle="1" w:styleId="FootnoteTextChar">
    <w:name w:val="Footnote Text Char"/>
    <w:basedOn w:val="DefaultParagraphFont"/>
    <w:link w:val="FootnoteText"/>
    <w:uiPriority w:val="99"/>
    <w:rsid w:val="001A1E39"/>
    <w:rPr>
      <w:sz w:val="20"/>
      <w:szCs w:val="20"/>
    </w:rPr>
  </w:style>
  <w:style w:type="character" w:styleId="FootnoteReference">
    <w:name w:val="footnote reference"/>
    <w:basedOn w:val="DefaultParagraphFont"/>
    <w:uiPriority w:val="99"/>
    <w:unhideWhenUsed/>
    <w:rsid w:val="001A1E39"/>
    <w:rPr>
      <w:vertAlign w:val="superscript"/>
    </w:rPr>
  </w:style>
  <w:style w:type="paragraph" w:customStyle="1" w:styleId="PartyName">
    <w:name w:val="Party Name"/>
    <w:basedOn w:val="Normal"/>
    <w:rsid w:val="001A1E39"/>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ycourts.gov/LegacyPDFS/COURTS/11jd/supreme/civilterm/comp_conf_stip_order.pdf" TargetMode="External"/><Relationship Id="rId7" Type="http://schemas.openxmlformats.org/officeDocument/2006/relationships/hyperlink" Target="https://www2.nycbar.org/pdf/report/uploads/20072132-FormalOpinion2011-2Third-partyLitigationFinancing.pdf%20at%207" TargetMode="External"/><Relationship Id="rId2" Type="http://schemas.openxmlformats.org/officeDocument/2006/relationships/hyperlink" Target="https://www.nycourts.gov/LegacyPDFS/COURTS/11jd/supreme/civilterm/bar_notice.pdf" TargetMode="External"/><Relationship Id="rId1" Type="http://schemas.openxmlformats.org/officeDocument/2006/relationships/hyperlink" Target="https://www.gao.gov/assets/gao-23-105210.pdf" TargetMode="External"/><Relationship Id="rId6" Type="http://schemas.openxmlformats.org/officeDocument/2006/relationships/hyperlink" Target="https://www.ded.uscourts.gov/sites/ded/files/Standing%20Order%20Regarding%20Third-Party%20Litigation%20Funding.pdf" TargetMode="External"/><Relationship Id="rId5" Type="http://schemas.openxmlformats.org/officeDocument/2006/relationships/hyperlink" Target="https://www.njd.uscourts.gov/sites/njd/files/CompleteLocalRules.pdf" TargetMode="External"/><Relationship Id="rId4" Type="http://schemas.openxmlformats.org/officeDocument/2006/relationships/hyperlink" Target="https://ww2.nycourts.gov/sites/default/files/document/files/2020-10/SCP-Confidential%20Worksheet-fillabl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0D315116AF08498EB5DAEE8AD89C66" ma:contentTypeVersion="5" ma:contentTypeDescription="Create a new document." ma:contentTypeScope="" ma:versionID="0f0445fbe1576e6ab2578224bf802879">
  <xsd:schema xmlns:xsd="http://www.w3.org/2001/XMLSchema" xmlns:xs="http://www.w3.org/2001/XMLSchema" xmlns:p="http://schemas.microsoft.com/office/2006/metadata/properties" xmlns:ns3="8b23216a-5350-4507-ae5a-0c050c6c9bdd" targetNamespace="http://schemas.microsoft.com/office/2006/metadata/properties" ma:root="true" ma:fieldsID="375e034cab61bbf5a64b973b6aed0171" ns3:_="">
    <xsd:import namespace="8b23216a-5350-4507-ae5a-0c050c6c9bd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3216a-5350-4507-ae5a-0c050c6c9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b23216a-5350-4507-ae5a-0c050c6c9bdd" xsi:nil="true"/>
  </documentManagement>
</p:properties>
</file>

<file path=customXml/itemProps1.xml><?xml version="1.0" encoding="utf-8"?>
<ds:datastoreItem xmlns:ds="http://schemas.openxmlformats.org/officeDocument/2006/customXml" ds:itemID="{02A1DB9E-B5EF-454C-8272-57837D87D984}">
  <ds:schemaRefs>
    <ds:schemaRef ds:uri="http://schemas.microsoft.com/sharepoint/v3/contenttype/forms"/>
  </ds:schemaRefs>
</ds:datastoreItem>
</file>

<file path=customXml/itemProps2.xml><?xml version="1.0" encoding="utf-8"?>
<ds:datastoreItem xmlns:ds="http://schemas.openxmlformats.org/officeDocument/2006/customXml" ds:itemID="{14F37CD2-02B2-4DA8-A816-80DDB1801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3216a-5350-4507-ae5a-0c050c6c9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D796B-BE97-422D-9E4A-2B9C9478F6E8}">
  <ds:schemaRefs>
    <ds:schemaRef ds:uri="http://schemas.microsoft.com/office/2006/metadata/properties"/>
    <ds:schemaRef ds:uri="http://schemas.microsoft.com/office/infopath/2007/PartnerControls"/>
    <ds:schemaRef ds:uri="8b23216a-5350-4507-ae5a-0c050c6c9bd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2554</Words>
  <Characters>14559</Characters>
  <Application>Microsoft Office Word</Application>
  <DocSecurity>0</DocSecurity>
  <Lines>121</Lines>
  <Paragraphs>34</Paragraphs>
  <ScaleCrop>false</ScaleCrop>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Theobalt, Esq.</dc:creator>
  <cp:keywords/>
  <dc:description/>
  <cp:lastModifiedBy>Christopher Theobalt, Esq.</cp:lastModifiedBy>
  <cp:revision>30</cp:revision>
  <dcterms:created xsi:type="dcterms:W3CDTF">2025-12-12T14:35:00Z</dcterms:created>
  <dcterms:modified xsi:type="dcterms:W3CDTF">2025-12-12T14:49:00Z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0x010100460D315116AF08498EB5DAEE8AD89C66</vt:lpwstr>
  </property>
</Properties>
</file>