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C5A0" w14:textId="77777777" w:rsidR="002E286E" w:rsidRDefault="002E286E" w:rsidP="00180EBF">
      <w:pPr>
        <w:tabs>
          <w:tab w:val="left" w:pos="4050"/>
        </w:tabs>
        <w:rPr>
          <w:b/>
          <w:color w:val="000000"/>
          <w:szCs w:val="22"/>
        </w:rPr>
      </w:pPr>
    </w:p>
    <w:p w14:paraId="213C480B" w14:textId="77777777" w:rsidR="00180EBF" w:rsidRPr="000C5367" w:rsidRDefault="00180EBF" w:rsidP="00180EBF">
      <w:pPr>
        <w:tabs>
          <w:tab w:val="left" w:pos="4050"/>
        </w:tabs>
        <w:rPr>
          <w:bCs/>
          <w:color w:val="000000"/>
          <w:szCs w:val="22"/>
        </w:rPr>
      </w:pPr>
      <w:r w:rsidRPr="000C5367">
        <w:rPr>
          <w:bCs/>
          <w:color w:val="000000"/>
          <w:szCs w:val="22"/>
        </w:rPr>
        <w:t>SUPREME COURT OF THE STATE OF NEW YORK</w:t>
      </w:r>
    </w:p>
    <w:p w14:paraId="20A49B53" w14:textId="77777777" w:rsidR="00180EBF" w:rsidRPr="000C5367" w:rsidRDefault="00180EBF" w:rsidP="00180EBF">
      <w:pPr>
        <w:rPr>
          <w:bCs/>
          <w:color w:val="000000"/>
          <w:szCs w:val="22"/>
        </w:rPr>
      </w:pPr>
      <w:r w:rsidRPr="000C5367">
        <w:rPr>
          <w:bCs/>
          <w:color w:val="000000"/>
          <w:szCs w:val="22"/>
        </w:rPr>
        <w:t xml:space="preserve">COUNTY OF </w:t>
      </w:r>
    </w:p>
    <w:tbl>
      <w:tblPr>
        <w:tblW w:w="9480" w:type="dxa"/>
        <w:tblLayout w:type="fixed"/>
        <w:tblCellMar>
          <w:left w:w="0" w:type="dxa"/>
          <w:right w:w="0" w:type="dxa"/>
        </w:tblCellMar>
        <w:tblLook w:val="0000" w:firstRow="0" w:lastRow="0" w:firstColumn="0" w:lastColumn="0" w:noHBand="0" w:noVBand="0"/>
      </w:tblPr>
      <w:tblGrid>
        <w:gridCol w:w="5760"/>
        <w:gridCol w:w="3720"/>
      </w:tblGrid>
      <w:tr w:rsidR="00180EBF" w:rsidRPr="000F012B" w14:paraId="0925259E" w14:textId="77777777" w:rsidTr="00602F50">
        <w:trPr>
          <w:cantSplit/>
        </w:trPr>
        <w:tc>
          <w:tcPr>
            <w:tcW w:w="5760" w:type="dxa"/>
            <w:tcBorders>
              <w:top w:val="nil"/>
              <w:left w:val="nil"/>
              <w:bottom w:val="nil"/>
              <w:right w:val="nil"/>
            </w:tcBorders>
          </w:tcPr>
          <w:p w14:paraId="65E78402" w14:textId="77777777" w:rsidR="00180EBF" w:rsidRPr="000F012B" w:rsidRDefault="00180EBF" w:rsidP="002E493E">
            <w:pPr>
              <w:rPr>
                <w:b/>
                <w:color w:val="000000"/>
                <w:szCs w:val="22"/>
              </w:rPr>
            </w:pPr>
            <w:r w:rsidRPr="000F012B">
              <w:rPr>
                <w:b/>
                <w:color w:val="000000"/>
                <w:szCs w:val="22"/>
              </w:rPr>
              <w:t>---------------------------------------------------------------------X</w:t>
            </w:r>
          </w:p>
          <w:p w14:paraId="7DC03E27" w14:textId="77777777" w:rsidR="008541B2" w:rsidRPr="000C5367" w:rsidRDefault="008541B2" w:rsidP="008541B2">
            <w:pPr>
              <w:rPr>
                <w:bCs/>
                <w:color w:val="000000"/>
                <w:szCs w:val="22"/>
              </w:rPr>
            </w:pPr>
            <w:r w:rsidRPr="000C5367">
              <w:rPr>
                <w:bCs/>
                <w:color w:val="000000"/>
                <w:szCs w:val="22"/>
              </w:rPr>
              <w:t xml:space="preserve">, </w:t>
            </w:r>
          </w:p>
          <w:p w14:paraId="531D60EB" w14:textId="77777777" w:rsidR="008541B2" w:rsidRPr="000C5367" w:rsidRDefault="008541B2" w:rsidP="008541B2">
            <w:pPr>
              <w:rPr>
                <w:bCs/>
                <w:color w:val="000000"/>
                <w:szCs w:val="22"/>
              </w:rPr>
            </w:pPr>
          </w:p>
          <w:p w14:paraId="291BEFDD" w14:textId="77777777" w:rsidR="008541B2" w:rsidRPr="000C5367" w:rsidRDefault="008541B2" w:rsidP="008541B2">
            <w:pPr>
              <w:tabs>
                <w:tab w:val="left" w:pos="3675"/>
              </w:tabs>
              <w:ind w:firstLine="3600"/>
              <w:rPr>
                <w:bCs/>
                <w:color w:val="000000"/>
                <w:szCs w:val="22"/>
              </w:rPr>
            </w:pPr>
            <w:r w:rsidRPr="000C5367">
              <w:rPr>
                <w:bCs/>
                <w:color w:val="000000"/>
                <w:szCs w:val="22"/>
              </w:rPr>
              <w:t>Plaintiff,</w:t>
            </w:r>
          </w:p>
          <w:p w14:paraId="2FCDB89E" w14:textId="77777777" w:rsidR="008541B2" w:rsidRPr="000C5367" w:rsidRDefault="008541B2" w:rsidP="008541B2">
            <w:pPr>
              <w:autoSpaceDE w:val="0"/>
              <w:autoSpaceDN w:val="0"/>
              <w:adjustRightInd w:val="0"/>
              <w:rPr>
                <w:bCs/>
                <w:color w:val="000000"/>
                <w:szCs w:val="22"/>
              </w:rPr>
            </w:pPr>
          </w:p>
          <w:p w14:paraId="02305C3F" w14:textId="77777777" w:rsidR="008541B2" w:rsidRPr="000C5367" w:rsidRDefault="008541B2" w:rsidP="008541B2">
            <w:pPr>
              <w:ind w:firstLine="720"/>
              <w:rPr>
                <w:bCs/>
                <w:color w:val="000000"/>
                <w:szCs w:val="22"/>
              </w:rPr>
            </w:pPr>
            <w:r w:rsidRPr="000C5367">
              <w:rPr>
                <w:bCs/>
                <w:color w:val="000000"/>
                <w:szCs w:val="22"/>
              </w:rPr>
              <w:t>-against-</w:t>
            </w:r>
          </w:p>
          <w:p w14:paraId="144F7E02" w14:textId="77777777" w:rsidR="008541B2" w:rsidRPr="000C5367" w:rsidRDefault="008541B2" w:rsidP="008541B2">
            <w:pPr>
              <w:rPr>
                <w:bCs/>
                <w:color w:val="000000"/>
                <w:szCs w:val="22"/>
              </w:rPr>
            </w:pPr>
          </w:p>
          <w:p w14:paraId="48A1D125" w14:textId="77777777" w:rsidR="008541B2" w:rsidRPr="000C5367" w:rsidRDefault="008541B2" w:rsidP="008541B2">
            <w:pPr>
              <w:rPr>
                <w:bCs/>
                <w:color w:val="000000"/>
                <w:szCs w:val="22"/>
              </w:rPr>
            </w:pPr>
            <w:r w:rsidRPr="000C5367">
              <w:rPr>
                <w:bCs/>
                <w:color w:val="000000"/>
                <w:szCs w:val="22"/>
              </w:rPr>
              <w:t>,</w:t>
            </w:r>
          </w:p>
          <w:p w14:paraId="02E14EB0" w14:textId="77777777" w:rsidR="008541B2" w:rsidRPr="000C5367" w:rsidRDefault="008541B2" w:rsidP="008541B2">
            <w:pPr>
              <w:rPr>
                <w:bCs/>
                <w:color w:val="000000"/>
                <w:szCs w:val="22"/>
              </w:rPr>
            </w:pPr>
          </w:p>
          <w:p w14:paraId="18946C0A" w14:textId="77777777" w:rsidR="008541B2" w:rsidRPr="000C5367" w:rsidRDefault="008541B2" w:rsidP="008541B2">
            <w:pPr>
              <w:ind w:firstLine="3600"/>
              <w:rPr>
                <w:bCs/>
                <w:color w:val="000000"/>
                <w:szCs w:val="22"/>
              </w:rPr>
            </w:pPr>
            <w:r w:rsidRPr="000C5367">
              <w:rPr>
                <w:bCs/>
                <w:color w:val="000000"/>
                <w:szCs w:val="22"/>
              </w:rPr>
              <w:t>Defendant</w:t>
            </w:r>
            <w:r w:rsidR="000C5367">
              <w:rPr>
                <w:bCs/>
                <w:color w:val="000000"/>
                <w:szCs w:val="22"/>
              </w:rPr>
              <w:t>(</w:t>
            </w:r>
            <w:r w:rsidRPr="000C5367">
              <w:rPr>
                <w:bCs/>
                <w:color w:val="000000"/>
                <w:szCs w:val="22"/>
              </w:rPr>
              <w:t>s</w:t>
            </w:r>
            <w:r w:rsidR="000C5367">
              <w:rPr>
                <w:bCs/>
                <w:color w:val="000000"/>
                <w:szCs w:val="22"/>
              </w:rPr>
              <w:t>)</w:t>
            </w:r>
            <w:r w:rsidRPr="000C5367">
              <w:rPr>
                <w:bCs/>
                <w:color w:val="000000"/>
                <w:szCs w:val="22"/>
              </w:rPr>
              <w:t>.</w:t>
            </w:r>
          </w:p>
          <w:p w14:paraId="110174A9" w14:textId="77777777" w:rsidR="00180EBF" w:rsidRPr="000F012B" w:rsidRDefault="00180EBF" w:rsidP="002E493E">
            <w:pPr>
              <w:rPr>
                <w:b/>
                <w:color w:val="000000"/>
                <w:szCs w:val="22"/>
              </w:rPr>
            </w:pPr>
            <w:r w:rsidRPr="000F012B">
              <w:rPr>
                <w:b/>
                <w:color w:val="000000"/>
                <w:szCs w:val="22"/>
              </w:rPr>
              <w:t>---------------------------------------------------------------------X</w:t>
            </w:r>
          </w:p>
        </w:tc>
        <w:tc>
          <w:tcPr>
            <w:tcW w:w="3720" w:type="dxa"/>
            <w:tcBorders>
              <w:top w:val="nil"/>
              <w:left w:val="nil"/>
              <w:bottom w:val="nil"/>
              <w:right w:val="nil"/>
            </w:tcBorders>
          </w:tcPr>
          <w:p w14:paraId="7FE52446" w14:textId="77777777" w:rsidR="00180EBF" w:rsidRPr="000F012B" w:rsidRDefault="00180EBF" w:rsidP="002E493E">
            <w:pPr>
              <w:rPr>
                <w:b/>
                <w:color w:val="000000"/>
                <w:szCs w:val="22"/>
              </w:rPr>
            </w:pPr>
          </w:p>
          <w:p w14:paraId="14AD8A11" w14:textId="77777777" w:rsidR="00180EBF" w:rsidRPr="000F012B" w:rsidRDefault="00180EBF" w:rsidP="002E493E">
            <w:pPr>
              <w:rPr>
                <w:b/>
                <w:color w:val="000000"/>
                <w:szCs w:val="22"/>
              </w:rPr>
            </w:pPr>
          </w:p>
          <w:p w14:paraId="609672BC" w14:textId="77777777" w:rsidR="00180EBF" w:rsidRPr="000F012B" w:rsidRDefault="00180EBF" w:rsidP="00160036">
            <w:pPr>
              <w:ind w:left="360"/>
              <w:rPr>
                <w:b/>
                <w:bCs/>
                <w:color w:val="000000"/>
                <w:szCs w:val="22"/>
              </w:rPr>
            </w:pPr>
            <w:r w:rsidRPr="000F012B">
              <w:rPr>
                <w:b/>
                <w:bCs/>
                <w:color w:val="000000"/>
                <w:szCs w:val="22"/>
              </w:rPr>
              <w:t>Index No.</w:t>
            </w:r>
            <w:r w:rsidR="000F012B">
              <w:rPr>
                <w:b/>
                <w:bCs/>
                <w:color w:val="000000"/>
                <w:szCs w:val="22"/>
              </w:rPr>
              <w:t xml:space="preserve"> </w:t>
            </w:r>
            <w:r w:rsidRPr="000F012B">
              <w:rPr>
                <w:b/>
                <w:bCs/>
                <w:color w:val="000000"/>
                <w:szCs w:val="22"/>
              </w:rPr>
              <w:t xml:space="preserve"> </w:t>
            </w:r>
          </w:p>
          <w:p w14:paraId="06BC77DB" w14:textId="77777777" w:rsidR="000F012B" w:rsidRDefault="000F012B" w:rsidP="002E493E">
            <w:pPr>
              <w:jc w:val="center"/>
              <w:rPr>
                <w:b/>
                <w:bCs/>
                <w:color w:val="000000"/>
                <w:szCs w:val="22"/>
              </w:rPr>
            </w:pPr>
          </w:p>
          <w:p w14:paraId="074ED312" w14:textId="77777777" w:rsidR="002B7652" w:rsidRPr="000F012B" w:rsidRDefault="002B7652" w:rsidP="002E493E">
            <w:pPr>
              <w:jc w:val="center"/>
              <w:rPr>
                <w:b/>
                <w:bCs/>
                <w:color w:val="000000"/>
                <w:szCs w:val="22"/>
              </w:rPr>
            </w:pPr>
          </w:p>
          <w:p w14:paraId="76040A17" w14:textId="77777777" w:rsidR="000F012B" w:rsidRPr="00DF4613" w:rsidRDefault="000F012B" w:rsidP="00160036">
            <w:pPr>
              <w:ind w:left="360"/>
            </w:pPr>
            <w:r w:rsidRPr="00DF4613">
              <w:rPr>
                <w:b/>
                <w:bCs/>
              </w:rPr>
              <w:t>DEMAND FOR LITIGATION FUNDING INFORMATION AND DOCUMENTS</w:t>
            </w:r>
          </w:p>
          <w:p w14:paraId="1404092C" w14:textId="77777777" w:rsidR="00180EBF" w:rsidRPr="000F012B" w:rsidRDefault="00180EBF" w:rsidP="002E493E">
            <w:pPr>
              <w:jc w:val="center"/>
              <w:rPr>
                <w:b/>
                <w:bCs/>
                <w:color w:val="000000"/>
                <w:szCs w:val="22"/>
                <w:u w:val="single"/>
              </w:rPr>
            </w:pPr>
          </w:p>
          <w:p w14:paraId="79E0975A" w14:textId="77777777" w:rsidR="00180EBF" w:rsidRPr="000F012B" w:rsidRDefault="00180EBF" w:rsidP="002E493E">
            <w:pPr>
              <w:autoSpaceDE w:val="0"/>
              <w:autoSpaceDN w:val="0"/>
              <w:adjustRightInd w:val="0"/>
              <w:jc w:val="center"/>
              <w:rPr>
                <w:b/>
                <w:bCs/>
                <w:color w:val="000000"/>
                <w:szCs w:val="22"/>
              </w:rPr>
            </w:pPr>
          </w:p>
          <w:p w14:paraId="381B44A4" w14:textId="77777777" w:rsidR="00180EBF" w:rsidRPr="000F012B" w:rsidRDefault="00180EBF" w:rsidP="002E493E">
            <w:pPr>
              <w:autoSpaceDE w:val="0"/>
              <w:autoSpaceDN w:val="0"/>
              <w:adjustRightInd w:val="0"/>
              <w:jc w:val="center"/>
              <w:rPr>
                <w:b/>
                <w:bCs/>
                <w:color w:val="000000"/>
                <w:szCs w:val="22"/>
              </w:rPr>
            </w:pPr>
          </w:p>
        </w:tc>
      </w:tr>
    </w:tbl>
    <w:p w14:paraId="7120D04C" w14:textId="77777777" w:rsidR="00602F50" w:rsidRDefault="00602F50" w:rsidP="00602F50">
      <w:pPr>
        <w:pStyle w:val="Default"/>
        <w:jc w:val="both"/>
        <w:rPr>
          <w:rFonts w:ascii="Times New Roman" w:hAnsi="Times New Roman" w:cs="Times New Roman"/>
          <w:b/>
          <w:bCs/>
        </w:rPr>
      </w:pPr>
      <w:r>
        <w:rPr>
          <w:rFonts w:ascii="Times New Roman" w:hAnsi="Times New Roman" w:cs="Times New Roman"/>
          <w:b/>
          <w:bCs/>
        </w:rPr>
        <w:tab/>
      </w:r>
    </w:p>
    <w:p w14:paraId="12E3F2C4" w14:textId="77777777" w:rsidR="00602F50" w:rsidRPr="0021212F" w:rsidRDefault="00602F50" w:rsidP="0096221C">
      <w:pPr>
        <w:pStyle w:val="Default"/>
        <w:spacing w:line="480" w:lineRule="auto"/>
        <w:ind w:firstLine="720"/>
        <w:jc w:val="both"/>
        <w:rPr>
          <w:rFonts w:ascii="Times New Roman" w:hAnsi="Times New Roman" w:cs="Times New Roman"/>
        </w:rPr>
      </w:pPr>
      <w:r w:rsidRPr="00DF4613">
        <w:rPr>
          <w:rFonts w:ascii="Times New Roman" w:hAnsi="Times New Roman" w:cs="Times New Roman"/>
          <w:b/>
          <w:bCs/>
        </w:rPr>
        <w:t>PLEASE TAKE NOTICE</w:t>
      </w:r>
      <w:r w:rsidRPr="00DF4613">
        <w:rPr>
          <w:rFonts w:ascii="Times New Roman" w:hAnsi="Times New Roman" w:cs="Times New Roman"/>
        </w:rPr>
        <w:t xml:space="preserve">, </w:t>
      </w:r>
      <w:r w:rsidR="000C5367">
        <w:rPr>
          <w:rFonts w:ascii="Times New Roman" w:hAnsi="Times New Roman" w:cs="Times New Roman"/>
        </w:rPr>
        <w:t>that</w:t>
      </w:r>
      <w:r w:rsidRPr="00DF4613">
        <w:rPr>
          <w:rFonts w:ascii="Times New Roman" w:hAnsi="Times New Roman" w:cs="Times New Roman"/>
        </w:rPr>
        <w:t xml:space="preserve"> pursuant </w:t>
      </w:r>
      <w:r>
        <w:rPr>
          <w:rFonts w:ascii="Times New Roman" w:hAnsi="Times New Roman" w:cs="Times New Roman"/>
        </w:rPr>
        <w:t xml:space="preserve">to </w:t>
      </w:r>
      <w:r w:rsidR="000C5367">
        <w:rPr>
          <w:rFonts w:ascii="Times New Roman" w:hAnsi="Times New Roman" w:cs="Times New Roman"/>
        </w:rPr>
        <w:t>Article 31 of the CPLR</w:t>
      </w:r>
      <w:r>
        <w:rPr>
          <w:rFonts w:ascii="Times New Roman" w:hAnsi="Times New Roman" w:cs="Times New Roman"/>
        </w:rPr>
        <w:t xml:space="preserve">, </w:t>
      </w:r>
      <w:r w:rsidR="000C5367">
        <w:rPr>
          <w:rFonts w:ascii="Times New Roman" w:hAnsi="Times New Roman" w:cs="Times New Roman"/>
        </w:rPr>
        <w:t xml:space="preserve">Defendant(s) hereby demand(s) that Plaintiff serve upon the undersigned a statement </w:t>
      </w:r>
      <w:r w:rsidR="0021212F">
        <w:rPr>
          <w:rFonts w:ascii="Times New Roman" w:hAnsi="Times New Roman" w:cs="Times New Roman"/>
        </w:rPr>
        <w:t>answering</w:t>
      </w:r>
      <w:r w:rsidR="000C5367">
        <w:rPr>
          <w:rFonts w:ascii="Times New Roman" w:hAnsi="Times New Roman" w:cs="Times New Roman"/>
        </w:rPr>
        <w:t xml:space="preserve"> whether the </w:t>
      </w:r>
      <w:r w:rsidR="006B5CEB">
        <w:rPr>
          <w:rFonts w:ascii="Times New Roman" w:hAnsi="Times New Roman" w:cs="Times New Roman"/>
        </w:rPr>
        <w:t>P</w:t>
      </w:r>
      <w:r w:rsidRPr="00DF4613">
        <w:rPr>
          <w:rFonts w:ascii="Times New Roman" w:hAnsi="Times New Roman" w:cs="Times New Roman"/>
        </w:rPr>
        <w:t xml:space="preserve">laintiff or </w:t>
      </w:r>
      <w:r w:rsidR="006B5CEB">
        <w:rPr>
          <w:rFonts w:ascii="Times New Roman" w:hAnsi="Times New Roman" w:cs="Times New Roman"/>
        </w:rPr>
        <w:t>P</w:t>
      </w:r>
      <w:r w:rsidRPr="00DF4613">
        <w:rPr>
          <w:rFonts w:ascii="Times New Roman" w:hAnsi="Times New Roman" w:cs="Times New Roman"/>
        </w:rPr>
        <w:t>laintiff’s attorneys, or anyone on the behalf of</w:t>
      </w:r>
      <w:r>
        <w:rPr>
          <w:rFonts w:ascii="Times New Roman" w:hAnsi="Times New Roman" w:cs="Times New Roman"/>
        </w:rPr>
        <w:t xml:space="preserve"> the</w:t>
      </w:r>
      <w:r w:rsidRPr="00DF4613">
        <w:rPr>
          <w:rFonts w:ascii="Times New Roman" w:hAnsi="Times New Roman" w:cs="Times New Roman"/>
        </w:rPr>
        <w:t xml:space="preserve"> </w:t>
      </w:r>
      <w:r w:rsidR="006B5CEB">
        <w:rPr>
          <w:rFonts w:ascii="Times New Roman" w:hAnsi="Times New Roman" w:cs="Times New Roman"/>
        </w:rPr>
        <w:t>P</w:t>
      </w:r>
      <w:r w:rsidRPr="00DF4613">
        <w:rPr>
          <w:rFonts w:ascii="Times New Roman" w:hAnsi="Times New Roman" w:cs="Times New Roman"/>
        </w:rPr>
        <w:t xml:space="preserve">laintiff or </w:t>
      </w:r>
      <w:r w:rsidR="006B5CEB">
        <w:rPr>
          <w:rFonts w:ascii="Times New Roman" w:hAnsi="Times New Roman" w:cs="Times New Roman"/>
        </w:rPr>
        <w:t>P</w:t>
      </w:r>
      <w:r w:rsidRPr="00DF4613">
        <w:rPr>
          <w:rFonts w:ascii="Times New Roman" w:hAnsi="Times New Roman" w:cs="Times New Roman"/>
        </w:rPr>
        <w:t>laintiff’s attorneys</w:t>
      </w:r>
      <w:r w:rsidR="000C5367">
        <w:rPr>
          <w:rFonts w:ascii="Times New Roman" w:hAnsi="Times New Roman" w:cs="Times New Roman"/>
        </w:rPr>
        <w:t>,</w:t>
      </w:r>
      <w:r w:rsidRPr="00DF4613">
        <w:rPr>
          <w:rFonts w:ascii="Times New Roman" w:hAnsi="Times New Roman" w:cs="Times New Roman"/>
        </w:rPr>
        <w:t xml:space="preserve"> have entered into an agreement</w:t>
      </w:r>
      <w:r w:rsidR="000C5367">
        <w:rPr>
          <w:rFonts w:ascii="Times New Roman" w:hAnsi="Times New Roman" w:cs="Times New Roman"/>
        </w:rPr>
        <w:t xml:space="preserve"> and/or </w:t>
      </w:r>
      <w:r w:rsidRPr="00DF4613">
        <w:rPr>
          <w:rFonts w:ascii="Times New Roman" w:hAnsi="Times New Roman" w:cs="Times New Roman"/>
        </w:rPr>
        <w:t xml:space="preserve">contract </w:t>
      </w:r>
      <w:r w:rsidR="0096221C">
        <w:rPr>
          <w:rFonts w:ascii="Times New Roman" w:hAnsi="Times New Roman" w:cs="Times New Roman"/>
        </w:rPr>
        <w:t>(hereinafter collectively referred to as the “</w:t>
      </w:r>
      <w:r w:rsidR="00FD4452">
        <w:rPr>
          <w:rFonts w:ascii="Times New Roman" w:hAnsi="Times New Roman" w:cs="Times New Roman"/>
        </w:rPr>
        <w:t>A</w:t>
      </w:r>
      <w:r w:rsidR="0096221C">
        <w:rPr>
          <w:rFonts w:ascii="Times New Roman" w:hAnsi="Times New Roman" w:cs="Times New Roman"/>
        </w:rPr>
        <w:t xml:space="preserve">greement”) </w:t>
      </w:r>
      <w:r w:rsidR="000C5367">
        <w:rPr>
          <w:rFonts w:ascii="Times New Roman" w:hAnsi="Times New Roman" w:cs="Times New Roman"/>
        </w:rPr>
        <w:t xml:space="preserve">with a person and/or </w:t>
      </w:r>
      <w:r w:rsidR="0096221C">
        <w:rPr>
          <w:rFonts w:ascii="Times New Roman" w:hAnsi="Times New Roman" w:cs="Times New Roman"/>
        </w:rPr>
        <w:t>company</w:t>
      </w:r>
      <w:r w:rsidR="000C5367">
        <w:rPr>
          <w:rFonts w:ascii="Times New Roman" w:hAnsi="Times New Roman" w:cs="Times New Roman"/>
        </w:rPr>
        <w:t>, including, but no</w:t>
      </w:r>
      <w:r w:rsidR="0096221C">
        <w:rPr>
          <w:rFonts w:ascii="Times New Roman" w:hAnsi="Times New Roman" w:cs="Times New Roman"/>
        </w:rPr>
        <w:t xml:space="preserve">t </w:t>
      </w:r>
      <w:r w:rsidR="000C5367">
        <w:rPr>
          <w:rFonts w:ascii="Times New Roman" w:hAnsi="Times New Roman" w:cs="Times New Roman"/>
        </w:rPr>
        <w:t>limited to, a</w:t>
      </w:r>
      <w:r w:rsidRPr="00DF4613">
        <w:rPr>
          <w:rFonts w:ascii="Times New Roman" w:hAnsi="Times New Roman" w:cs="Times New Roman"/>
        </w:rPr>
        <w:t xml:space="preserve"> lender, litigation funding company, litigation lending company, medical funding company, </w:t>
      </w:r>
      <w:r w:rsidR="0021212F">
        <w:rPr>
          <w:rFonts w:ascii="Times New Roman" w:hAnsi="Times New Roman" w:cs="Times New Roman"/>
        </w:rPr>
        <w:t xml:space="preserve">or any </w:t>
      </w:r>
      <w:r w:rsidRPr="00DF4613">
        <w:rPr>
          <w:rFonts w:ascii="Times New Roman" w:hAnsi="Times New Roman" w:cs="Times New Roman"/>
        </w:rPr>
        <w:t xml:space="preserve">company, corporation, </w:t>
      </w:r>
      <w:r w:rsidR="0096221C">
        <w:rPr>
          <w:rFonts w:ascii="Times New Roman" w:hAnsi="Times New Roman" w:cs="Times New Roman"/>
        </w:rPr>
        <w:t xml:space="preserve">or </w:t>
      </w:r>
      <w:r w:rsidRPr="00DF4613">
        <w:rPr>
          <w:rFonts w:ascii="Times New Roman" w:hAnsi="Times New Roman" w:cs="Times New Roman"/>
        </w:rPr>
        <w:t>partnership</w:t>
      </w:r>
      <w:r w:rsidR="0096221C">
        <w:rPr>
          <w:rFonts w:ascii="Times New Roman" w:hAnsi="Times New Roman" w:cs="Times New Roman"/>
        </w:rPr>
        <w:t xml:space="preserve"> (hereinafter collectively referred to as “</w:t>
      </w:r>
      <w:r w:rsidR="00FD4452">
        <w:rPr>
          <w:rFonts w:ascii="Times New Roman" w:hAnsi="Times New Roman" w:cs="Times New Roman"/>
        </w:rPr>
        <w:t>Lender</w:t>
      </w:r>
      <w:r w:rsidR="0096221C">
        <w:rPr>
          <w:rFonts w:ascii="Times New Roman" w:hAnsi="Times New Roman" w:cs="Times New Roman"/>
        </w:rPr>
        <w:t xml:space="preserve">”), in which the </w:t>
      </w:r>
      <w:r w:rsidR="00FD4452">
        <w:rPr>
          <w:rFonts w:ascii="Times New Roman" w:hAnsi="Times New Roman" w:cs="Times New Roman"/>
        </w:rPr>
        <w:t>Lender</w:t>
      </w:r>
      <w:r w:rsidR="0096221C">
        <w:rPr>
          <w:rFonts w:ascii="Times New Roman" w:hAnsi="Times New Roman" w:cs="Times New Roman"/>
        </w:rPr>
        <w:t xml:space="preserve"> </w:t>
      </w:r>
      <w:r w:rsidR="00C22411">
        <w:rPr>
          <w:rFonts w:ascii="Times New Roman" w:hAnsi="Times New Roman" w:cs="Times New Roman"/>
        </w:rPr>
        <w:t>provided Plaintiff and/or Plaintiff’s attorneys with funding and/or loans</w:t>
      </w:r>
      <w:r w:rsidR="0096221C">
        <w:rPr>
          <w:rFonts w:ascii="Times New Roman" w:hAnsi="Times New Roman" w:cs="Times New Roman"/>
        </w:rPr>
        <w:t xml:space="preserve">, and </w:t>
      </w:r>
      <w:r w:rsidR="00C22411">
        <w:rPr>
          <w:rFonts w:ascii="Times New Roman" w:hAnsi="Times New Roman" w:cs="Times New Roman"/>
        </w:rPr>
        <w:t>in which P</w:t>
      </w:r>
      <w:r w:rsidR="0096221C">
        <w:rPr>
          <w:rFonts w:ascii="Times New Roman" w:hAnsi="Times New Roman" w:cs="Times New Roman"/>
        </w:rPr>
        <w:t xml:space="preserve">laintiff </w:t>
      </w:r>
      <w:r w:rsidR="00C22411">
        <w:rPr>
          <w:rFonts w:ascii="Times New Roman" w:hAnsi="Times New Roman" w:cs="Times New Roman"/>
        </w:rPr>
        <w:t>and/</w:t>
      </w:r>
      <w:r w:rsidR="0096221C">
        <w:rPr>
          <w:rFonts w:ascii="Times New Roman" w:hAnsi="Times New Roman" w:cs="Times New Roman"/>
        </w:rPr>
        <w:t xml:space="preserve">or </w:t>
      </w:r>
      <w:r w:rsidR="00C22411">
        <w:rPr>
          <w:rFonts w:ascii="Times New Roman" w:hAnsi="Times New Roman" w:cs="Times New Roman"/>
        </w:rPr>
        <w:t>P</w:t>
      </w:r>
      <w:r w:rsidR="0096221C">
        <w:rPr>
          <w:rFonts w:ascii="Times New Roman" w:hAnsi="Times New Roman" w:cs="Times New Roman"/>
        </w:rPr>
        <w:t xml:space="preserve">laintiff’s attorneys assigned to the </w:t>
      </w:r>
      <w:r w:rsidR="00FD4452">
        <w:rPr>
          <w:rFonts w:ascii="Times New Roman" w:hAnsi="Times New Roman" w:cs="Times New Roman"/>
        </w:rPr>
        <w:t>Lender</w:t>
      </w:r>
      <w:r w:rsidR="0096221C">
        <w:rPr>
          <w:rFonts w:ascii="Times New Roman" w:hAnsi="Times New Roman" w:cs="Times New Roman"/>
        </w:rPr>
        <w:t xml:space="preserve"> a contingent right to receive </w:t>
      </w:r>
      <w:r w:rsidR="0096221C" w:rsidRPr="0021212F">
        <w:rPr>
          <w:rFonts w:ascii="Times New Roman" w:hAnsi="Times New Roman" w:cs="Times New Roman"/>
        </w:rPr>
        <w:t>an amount of the potential proceeds of a settlement, judgment, award, or verdict obtained in the instant matter</w:t>
      </w:r>
      <w:r w:rsidR="00FD4452" w:rsidRPr="0021212F">
        <w:rPr>
          <w:rFonts w:ascii="Times New Roman" w:hAnsi="Times New Roman" w:cs="Times New Roman"/>
        </w:rPr>
        <w:t xml:space="preserve">. If so, please state and/or provide, </w:t>
      </w:r>
      <w:r w:rsidR="0096221C" w:rsidRPr="0021212F">
        <w:rPr>
          <w:rFonts w:ascii="Times New Roman" w:hAnsi="Times New Roman" w:cs="Times New Roman"/>
        </w:rPr>
        <w:t xml:space="preserve">within thirty (30) days: </w:t>
      </w:r>
    </w:p>
    <w:p w14:paraId="4DE5061F" w14:textId="77777777" w:rsidR="00602F50" w:rsidRPr="0021212F" w:rsidRDefault="0096221C" w:rsidP="0021212F">
      <w:pPr>
        <w:pStyle w:val="Default"/>
        <w:numPr>
          <w:ilvl w:val="0"/>
          <w:numId w:val="5"/>
        </w:numPr>
        <w:jc w:val="both"/>
        <w:rPr>
          <w:rFonts w:ascii="Times New Roman" w:hAnsi="Times New Roman" w:cs="Times New Roman"/>
        </w:rPr>
      </w:pPr>
      <w:r w:rsidRPr="0021212F">
        <w:rPr>
          <w:rFonts w:ascii="Times New Roman" w:hAnsi="Times New Roman" w:cs="Times New Roman"/>
        </w:rPr>
        <w:t xml:space="preserve">A complete list of all parties to the agreement, including each parties’ name and </w:t>
      </w:r>
      <w:proofErr w:type="gramStart"/>
      <w:r w:rsidRPr="0021212F">
        <w:rPr>
          <w:rFonts w:ascii="Times New Roman" w:hAnsi="Times New Roman" w:cs="Times New Roman"/>
        </w:rPr>
        <w:t>address</w:t>
      </w:r>
      <w:r w:rsidR="00F51581">
        <w:rPr>
          <w:rFonts w:ascii="Times New Roman" w:hAnsi="Times New Roman" w:cs="Times New Roman"/>
        </w:rPr>
        <w:t>;</w:t>
      </w:r>
      <w:proofErr w:type="gramEnd"/>
      <w:r w:rsidR="00602F50" w:rsidRPr="0021212F">
        <w:rPr>
          <w:rFonts w:ascii="Times New Roman" w:hAnsi="Times New Roman" w:cs="Times New Roman"/>
        </w:rPr>
        <w:t xml:space="preserve"> </w:t>
      </w:r>
    </w:p>
    <w:p w14:paraId="6628A096" w14:textId="77777777" w:rsidR="0021212F" w:rsidRPr="0021212F" w:rsidRDefault="0021212F" w:rsidP="0021212F">
      <w:pPr>
        <w:pStyle w:val="Default"/>
        <w:ind w:left="1170"/>
        <w:jc w:val="both"/>
        <w:rPr>
          <w:rFonts w:ascii="Times New Roman" w:hAnsi="Times New Roman" w:cs="Times New Roman"/>
        </w:rPr>
      </w:pPr>
    </w:p>
    <w:p w14:paraId="3FA585B7" w14:textId="77777777" w:rsidR="0096221C" w:rsidRPr="0021212F" w:rsidRDefault="00602F50" w:rsidP="0096221C">
      <w:pPr>
        <w:pStyle w:val="Default"/>
        <w:numPr>
          <w:ilvl w:val="0"/>
          <w:numId w:val="5"/>
        </w:numPr>
        <w:spacing w:line="480" w:lineRule="auto"/>
        <w:jc w:val="both"/>
        <w:rPr>
          <w:rFonts w:ascii="Times New Roman" w:hAnsi="Times New Roman" w:cs="Times New Roman"/>
        </w:rPr>
      </w:pPr>
      <w:r w:rsidRPr="0021212F">
        <w:rPr>
          <w:rFonts w:ascii="Times New Roman" w:hAnsi="Times New Roman" w:cs="Times New Roman"/>
        </w:rPr>
        <w:t xml:space="preserve">The </w:t>
      </w:r>
      <w:r w:rsidR="0096221C" w:rsidRPr="0021212F">
        <w:rPr>
          <w:rFonts w:ascii="Times New Roman" w:hAnsi="Times New Roman" w:cs="Times New Roman"/>
        </w:rPr>
        <w:t xml:space="preserve">date the parties entered into the </w:t>
      </w:r>
      <w:proofErr w:type="gramStart"/>
      <w:r w:rsidR="0096221C" w:rsidRPr="0021212F">
        <w:rPr>
          <w:rFonts w:ascii="Times New Roman" w:hAnsi="Times New Roman" w:cs="Times New Roman"/>
        </w:rPr>
        <w:t>Agreement</w:t>
      </w:r>
      <w:r w:rsidR="00F51581">
        <w:rPr>
          <w:rFonts w:ascii="Times New Roman" w:hAnsi="Times New Roman" w:cs="Times New Roman"/>
        </w:rPr>
        <w:t>;</w:t>
      </w:r>
      <w:proofErr w:type="gramEnd"/>
    </w:p>
    <w:p w14:paraId="4C07948C" w14:textId="77777777" w:rsidR="00F51581" w:rsidRDefault="0021212F" w:rsidP="00C22411">
      <w:pPr>
        <w:pStyle w:val="Default"/>
        <w:numPr>
          <w:ilvl w:val="0"/>
          <w:numId w:val="5"/>
        </w:numPr>
        <w:jc w:val="both"/>
        <w:rPr>
          <w:rFonts w:ascii="Times New Roman" w:hAnsi="Times New Roman" w:cs="Times New Roman"/>
        </w:rPr>
      </w:pPr>
      <w:r w:rsidRPr="0021212F">
        <w:rPr>
          <w:rFonts w:ascii="Times New Roman" w:hAnsi="Times New Roman" w:cs="Times New Roman"/>
        </w:rPr>
        <w:t xml:space="preserve">The </w:t>
      </w:r>
      <w:r w:rsidR="006B5CEB">
        <w:rPr>
          <w:rFonts w:ascii="Times New Roman" w:hAnsi="Times New Roman" w:cs="Times New Roman"/>
        </w:rPr>
        <w:t>complete terms and conditions of the agreement, including, but not limited to</w:t>
      </w:r>
      <w:r w:rsidR="00F51581">
        <w:rPr>
          <w:rFonts w:ascii="Times New Roman" w:hAnsi="Times New Roman" w:cs="Times New Roman"/>
        </w:rPr>
        <w:t>:</w:t>
      </w:r>
    </w:p>
    <w:p w14:paraId="59DA9B3F" w14:textId="77777777" w:rsidR="00602F50" w:rsidRDefault="006B5CEB" w:rsidP="00C121F5">
      <w:pPr>
        <w:pStyle w:val="Default"/>
        <w:numPr>
          <w:ilvl w:val="1"/>
          <w:numId w:val="5"/>
        </w:numPr>
        <w:jc w:val="both"/>
        <w:rPr>
          <w:rFonts w:ascii="Times New Roman" w:hAnsi="Times New Roman" w:cs="Times New Roman"/>
        </w:rPr>
      </w:pPr>
      <w:r w:rsidRPr="00F51581">
        <w:rPr>
          <w:rFonts w:ascii="Times New Roman" w:hAnsi="Times New Roman" w:cs="Times New Roman"/>
        </w:rPr>
        <w:t xml:space="preserve">the </w:t>
      </w:r>
      <w:r w:rsidR="00602F50" w:rsidRPr="00F51581">
        <w:rPr>
          <w:rFonts w:ascii="Times New Roman" w:hAnsi="Times New Roman" w:cs="Times New Roman"/>
        </w:rPr>
        <w:t xml:space="preserve">amount </w:t>
      </w:r>
      <w:r w:rsidR="0021212F" w:rsidRPr="00F51581">
        <w:rPr>
          <w:rFonts w:ascii="Times New Roman" w:hAnsi="Times New Roman" w:cs="Times New Roman"/>
        </w:rPr>
        <w:t>paid</w:t>
      </w:r>
      <w:r w:rsidRPr="00F51581">
        <w:rPr>
          <w:rFonts w:ascii="Times New Roman" w:hAnsi="Times New Roman" w:cs="Times New Roman"/>
        </w:rPr>
        <w:t xml:space="preserve">, loaned, </w:t>
      </w:r>
      <w:r w:rsidR="00C22411" w:rsidRPr="00F51581">
        <w:rPr>
          <w:rFonts w:ascii="Times New Roman" w:hAnsi="Times New Roman" w:cs="Times New Roman"/>
        </w:rPr>
        <w:t xml:space="preserve">and/or provided </w:t>
      </w:r>
      <w:r w:rsidR="0021212F" w:rsidRPr="00F51581">
        <w:rPr>
          <w:rFonts w:ascii="Times New Roman" w:hAnsi="Times New Roman" w:cs="Times New Roman"/>
        </w:rPr>
        <w:t xml:space="preserve">to </w:t>
      </w:r>
      <w:r w:rsidR="00C22411" w:rsidRPr="00F51581">
        <w:rPr>
          <w:rFonts w:ascii="Times New Roman" w:hAnsi="Times New Roman" w:cs="Times New Roman"/>
        </w:rPr>
        <w:t xml:space="preserve">Plaintiff and/or Plaintiff’s </w:t>
      </w:r>
      <w:proofErr w:type="spellStart"/>
      <w:r w:rsidR="00C22411" w:rsidRPr="00F51581">
        <w:rPr>
          <w:rFonts w:ascii="Times New Roman" w:hAnsi="Times New Roman" w:cs="Times New Roman"/>
        </w:rPr>
        <w:t>attorney’s</w:t>
      </w:r>
      <w:proofErr w:type="spellEnd"/>
      <w:r w:rsidR="00C22411" w:rsidRPr="00F51581">
        <w:rPr>
          <w:rFonts w:ascii="Times New Roman" w:hAnsi="Times New Roman" w:cs="Times New Roman"/>
        </w:rPr>
        <w:t xml:space="preserve"> pursuant to the Agreement</w:t>
      </w:r>
      <w:r w:rsidR="00F51581" w:rsidRPr="00F51581">
        <w:rPr>
          <w:rFonts w:ascii="Times New Roman" w:hAnsi="Times New Roman" w:cs="Times New Roman"/>
        </w:rPr>
        <w:t xml:space="preserve">, including the </w:t>
      </w:r>
      <w:r w:rsidR="00C22411" w:rsidRPr="00F51581">
        <w:rPr>
          <w:rFonts w:ascii="Times New Roman" w:hAnsi="Times New Roman" w:cs="Times New Roman"/>
        </w:rPr>
        <w:t>applicable interest rate, if any;</w:t>
      </w:r>
      <w:r w:rsidR="00602F50" w:rsidRPr="00F51581">
        <w:rPr>
          <w:rFonts w:ascii="Times New Roman" w:hAnsi="Times New Roman" w:cs="Times New Roman"/>
        </w:rPr>
        <w:t xml:space="preserve"> </w:t>
      </w:r>
      <w:r w:rsidR="00F51581">
        <w:rPr>
          <w:rFonts w:ascii="Times New Roman" w:hAnsi="Times New Roman" w:cs="Times New Roman"/>
        </w:rPr>
        <w:t xml:space="preserve">and </w:t>
      </w:r>
    </w:p>
    <w:p w14:paraId="3282984E" w14:textId="77777777" w:rsidR="00F51581" w:rsidRDefault="00F51581" w:rsidP="00F51581">
      <w:pPr>
        <w:pStyle w:val="Default"/>
        <w:ind w:left="1890"/>
        <w:jc w:val="both"/>
        <w:rPr>
          <w:rFonts w:ascii="Times New Roman" w:hAnsi="Times New Roman" w:cs="Times New Roman"/>
        </w:rPr>
      </w:pPr>
    </w:p>
    <w:p w14:paraId="5719A8B3" w14:textId="77777777" w:rsidR="00F51581" w:rsidRPr="00F51581" w:rsidRDefault="00044C43" w:rsidP="00C121F5">
      <w:pPr>
        <w:pStyle w:val="Default"/>
        <w:numPr>
          <w:ilvl w:val="1"/>
          <w:numId w:val="5"/>
        </w:numPr>
        <w:jc w:val="both"/>
        <w:rPr>
          <w:rFonts w:ascii="Times New Roman" w:hAnsi="Times New Roman" w:cs="Times New Roman"/>
        </w:rPr>
      </w:pPr>
      <w:r>
        <w:rPr>
          <w:rFonts w:ascii="Times New Roman" w:hAnsi="Times New Roman" w:cs="Times New Roman"/>
        </w:rPr>
        <w:t xml:space="preserve">any </w:t>
      </w:r>
      <w:r w:rsidR="00F51581">
        <w:rPr>
          <w:rFonts w:ascii="Times New Roman" w:hAnsi="Times New Roman" w:cs="Times New Roman"/>
        </w:rPr>
        <w:t xml:space="preserve">right(s) to exercise control over the litigation </w:t>
      </w:r>
      <w:r>
        <w:rPr>
          <w:rFonts w:ascii="Times New Roman" w:hAnsi="Times New Roman" w:cs="Times New Roman"/>
        </w:rPr>
        <w:t>granted</w:t>
      </w:r>
      <w:r w:rsidR="00F51581">
        <w:rPr>
          <w:rFonts w:ascii="Times New Roman" w:hAnsi="Times New Roman" w:cs="Times New Roman"/>
        </w:rPr>
        <w:t xml:space="preserve"> to the Lender pursuant to the Agreement, including whether the Lender has the ability to veto any settlement </w:t>
      </w:r>
      <w:proofErr w:type="gramStart"/>
      <w:r w:rsidR="00F51581">
        <w:rPr>
          <w:rFonts w:ascii="Times New Roman" w:hAnsi="Times New Roman" w:cs="Times New Roman"/>
        </w:rPr>
        <w:t>agreements;</w:t>
      </w:r>
      <w:proofErr w:type="gramEnd"/>
    </w:p>
    <w:p w14:paraId="0E69B5FE" w14:textId="77777777" w:rsidR="006B5CEB" w:rsidRPr="0021212F" w:rsidRDefault="006B5CEB" w:rsidP="006B5CEB">
      <w:pPr>
        <w:pStyle w:val="Default"/>
        <w:ind w:left="1170"/>
        <w:jc w:val="both"/>
        <w:rPr>
          <w:rFonts w:ascii="Times New Roman" w:hAnsi="Times New Roman" w:cs="Times New Roman"/>
        </w:rPr>
      </w:pPr>
    </w:p>
    <w:p w14:paraId="08779862" w14:textId="77777777" w:rsidR="0021212F" w:rsidRPr="0021212F" w:rsidRDefault="0021212F" w:rsidP="0096221C">
      <w:pPr>
        <w:pStyle w:val="Default"/>
        <w:numPr>
          <w:ilvl w:val="0"/>
          <w:numId w:val="5"/>
        </w:numPr>
        <w:spacing w:line="480" w:lineRule="auto"/>
        <w:jc w:val="both"/>
        <w:rPr>
          <w:rFonts w:ascii="Times New Roman" w:hAnsi="Times New Roman" w:cs="Times New Roman"/>
        </w:rPr>
      </w:pPr>
      <w:r w:rsidRPr="0021212F">
        <w:rPr>
          <w:rFonts w:ascii="Times New Roman" w:hAnsi="Times New Roman" w:cs="Times New Roman"/>
        </w:rPr>
        <w:t>Whether the Agreement was oral and/or written;</w:t>
      </w:r>
      <w:r w:rsidR="00C22411">
        <w:rPr>
          <w:rFonts w:ascii="Times New Roman" w:hAnsi="Times New Roman" w:cs="Times New Roman"/>
        </w:rPr>
        <w:t xml:space="preserve"> and</w:t>
      </w:r>
    </w:p>
    <w:p w14:paraId="6F1DA989" w14:textId="77777777" w:rsidR="0021212F" w:rsidRDefault="0021212F" w:rsidP="00C22411">
      <w:pPr>
        <w:pStyle w:val="Default"/>
        <w:numPr>
          <w:ilvl w:val="1"/>
          <w:numId w:val="5"/>
        </w:numPr>
        <w:jc w:val="both"/>
        <w:rPr>
          <w:rFonts w:ascii="Times New Roman" w:hAnsi="Times New Roman" w:cs="Times New Roman"/>
        </w:rPr>
      </w:pPr>
      <w:r w:rsidRPr="0021212F">
        <w:rPr>
          <w:rFonts w:ascii="Times New Roman" w:hAnsi="Times New Roman" w:cs="Times New Roman"/>
          <w:szCs w:val="23"/>
        </w:rPr>
        <w:t xml:space="preserve">If oral, state the exact date when such </w:t>
      </w:r>
      <w:r w:rsidR="00C22411">
        <w:rPr>
          <w:rFonts w:ascii="Times New Roman" w:hAnsi="Times New Roman" w:cs="Times New Roman"/>
          <w:szCs w:val="23"/>
        </w:rPr>
        <w:t>Agreement(s)</w:t>
      </w:r>
      <w:r w:rsidRPr="0021212F">
        <w:rPr>
          <w:rFonts w:ascii="Times New Roman" w:hAnsi="Times New Roman" w:cs="Times New Roman"/>
          <w:szCs w:val="23"/>
        </w:rPr>
        <w:t xml:space="preserve"> was/were made, the exact and complete terms and conditions, and the parties to the oral </w:t>
      </w:r>
      <w:proofErr w:type="gramStart"/>
      <w:r w:rsidRPr="0021212F">
        <w:rPr>
          <w:rFonts w:ascii="Times New Roman" w:hAnsi="Times New Roman" w:cs="Times New Roman"/>
          <w:szCs w:val="23"/>
        </w:rPr>
        <w:t>contract</w:t>
      </w:r>
      <w:r w:rsidR="00C22411">
        <w:rPr>
          <w:rFonts w:ascii="Times New Roman" w:hAnsi="Times New Roman" w:cs="Times New Roman"/>
          <w:szCs w:val="23"/>
        </w:rPr>
        <w:t>;</w:t>
      </w:r>
      <w:proofErr w:type="gramEnd"/>
      <w:r w:rsidRPr="0021212F">
        <w:rPr>
          <w:rFonts w:ascii="Times New Roman" w:hAnsi="Times New Roman" w:cs="Times New Roman"/>
        </w:rPr>
        <w:t xml:space="preserve"> </w:t>
      </w:r>
    </w:p>
    <w:p w14:paraId="5FFDE6FA" w14:textId="77777777" w:rsidR="00C22411" w:rsidRPr="0021212F" w:rsidRDefault="00C22411" w:rsidP="00C22411">
      <w:pPr>
        <w:pStyle w:val="Default"/>
        <w:ind w:left="1890"/>
        <w:jc w:val="both"/>
        <w:rPr>
          <w:rFonts w:ascii="Times New Roman" w:hAnsi="Times New Roman" w:cs="Times New Roman"/>
        </w:rPr>
      </w:pPr>
    </w:p>
    <w:p w14:paraId="2A92E88D" w14:textId="77777777" w:rsidR="0021212F" w:rsidRPr="00C22411" w:rsidRDefault="0021212F" w:rsidP="00C22411">
      <w:pPr>
        <w:pStyle w:val="Default"/>
        <w:numPr>
          <w:ilvl w:val="1"/>
          <w:numId w:val="5"/>
        </w:numPr>
        <w:jc w:val="both"/>
        <w:rPr>
          <w:rFonts w:ascii="Times New Roman" w:hAnsi="Times New Roman" w:cs="Times New Roman"/>
        </w:rPr>
      </w:pPr>
      <w:r w:rsidRPr="0021212F">
        <w:rPr>
          <w:rFonts w:ascii="Times New Roman" w:hAnsi="Times New Roman" w:cs="Times New Roman"/>
          <w:szCs w:val="23"/>
        </w:rPr>
        <w:t xml:space="preserve">If written, </w:t>
      </w:r>
      <w:r w:rsidR="00C22411">
        <w:rPr>
          <w:rFonts w:ascii="Times New Roman" w:hAnsi="Times New Roman" w:cs="Times New Roman"/>
          <w:szCs w:val="23"/>
        </w:rPr>
        <w:t>provide</w:t>
      </w:r>
      <w:r w:rsidRPr="0021212F">
        <w:rPr>
          <w:rFonts w:ascii="Times New Roman" w:hAnsi="Times New Roman" w:cs="Times New Roman"/>
          <w:szCs w:val="23"/>
        </w:rPr>
        <w:t xml:space="preserve"> true, accurate and complete copies </w:t>
      </w:r>
      <w:r w:rsidR="00C22411">
        <w:rPr>
          <w:rFonts w:ascii="Times New Roman" w:hAnsi="Times New Roman" w:cs="Times New Roman"/>
          <w:szCs w:val="23"/>
        </w:rPr>
        <w:t>of the Agreement(s),</w:t>
      </w:r>
      <w:r w:rsidRPr="0021212F">
        <w:rPr>
          <w:rFonts w:ascii="Times New Roman" w:hAnsi="Times New Roman" w:cs="Times New Roman"/>
          <w:szCs w:val="23"/>
        </w:rPr>
        <w:t xml:space="preserve"> including any Addendums, Exhibits, and/or Amendments</w:t>
      </w:r>
      <w:r w:rsidR="00C22411">
        <w:rPr>
          <w:rFonts w:ascii="Times New Roman" w:hAnsi="Times New Roman" w:cs="Times New Roman"/>
          <w:szCs w:val="23"/>
        </w:rPr>
        <w:t>.</w:t>
      </w:r>
      <w:r w:rsidRPr="0021212F">
        <w:rPr>
          <w:rFonts w:ascii="Times New Roman" w:hAnsi="Times New Roman" w:cs="Times New Roman"/>
          <w:szCs w:val="23"/>
        </w:rPr>
        <w:t xml:space="preserve"> </w:t>
      </w:r>
    </w:p>
    <w:p w14:paraId="60F039FE" w14:textId="77777777" w:rsidR="00C22411" w:rsidRDefault="00C22411" w:rsidP="00C22411">
      <w:pPr>
        <w:pStyle w:val="ListParagraph"/>
      </w:pPr>
    </w:p>
    <w:p w14:paraId="7AEDBE21" w14:textId="77777777" w:rsidR="003B06F8" w:rsidRDefault="003B06F8" w:rsidP="003B06F8">
      <w:pPr>
        <w:spacing w:line="480" w:lineRule="auto"/>
        <w:ind w:firstLine="720"/>
        <w:jc w:val="both"/>
      </w:pPr>
      <w:r w:rsidRPr="003B06F8">
        <w:rPr>
          <w:b/>
          <w:bCs/>
        </w:rPr>
        <w:t>PLEASE TAKE FURTHER NOTICE</w:t>
      </w:r>
      <w:r w:rsidRPr="003B06F8">
        <w:t xml:space="preserve">, that all demands herein shall be deemed to continue during the pendency of this action through and including the trial </w:t>
      </w:r>
      <w:proofErr w:type="gramStart"/>
      <w:r w:rsidRPr="003B06F8">
        <w:t>thereof, and</w:t>
      </w:r>
      <w:proofErr w:type="gramEnd"/>
      <w:r w:rsidRPr="003B06F8">
        <w:t xml:space="preserve"> must be amended or supplemented in compliance with CPLR § 3101(h). </w:t>
      </w:r>
    </w:p>
    <w:p w14:paraId="0DA3F7AB" w14:textId="77777777" w:rsidR="00E04C14" w:rsidRPr="003B06F8" w:rsidRDefault="00E04C14" w:rsidP="00E04C14">
      <w:pPr>
        <w:spacing w:line="480" w:lineRule="auto"/>
        <w:ind w:firstLine="720"/>
        <w:jc w:val="both"/>
      </w:pPr>
      <w:r w:rsidRPr="00E04C14">
        <w:rPr>
          <w:b/>
          <w:bCs/>
        </w:rPr>
        <w:t>PLEASE TAKE FURTHER NOTICE</w:t>
      </w:r>
      <w:r>
        <w:t xml:space="preserve"> that the demands herein do not in any way limit or supersede prior demands for discovery, which must still be provided, nor are the demands herein limited or superseded by any other demand for discovery.</w:t>
      </w:r>
    </w:p>
    <w:p w14:paraId="66612260" w14:textId="77777777" w:rsidR="0021212F" w:rsidRDefault="0021212F" w:rsidP="003B06F8">
      <w:pPr>
        <w:pStyle w:val="Default"/>
        <w:spacing w:line="480" w:lineRule="auto"/>
        <w:ind w:firstLine="720"/>
        <w:jc w:val="both"/>
        <w:rPr>
          <w:rFonts w:ascii="Times New Roman" w:hAnsi="Times New Roman" w:cs="Times New Roman"/>
          <w:szCs w:val="23"/>
        </w:rPr>
      </w:pPr>
      <w:r w:rsidRPr="003B06F8">
        <w:rPr>
          <w:rFonts w:ascii="Times New Roman" w:hAnsi="Times New Roman" w:cs="Times New Roman"/>
          <w:b/>
          <w:bCs/>
          <w:szCs w:val="23"/>
        </w:rPr>
        <w:t xml:space="preserve">PLEASE TAKE FURTHER NOTICE </w:t>
      </w:r>
      <w:r w:rsidRPr="003B06F8">
        <w:rPr>
          <w:rFonts w:ascii="Times New Roman" w:hAnsi="Times New Roman" w:cs="Times New Roman"/>
          <w:szCs w:val="23"/>
        </w:rPr>
        <w:t xml:space="preserve">that should </w:t>
      </w:r>
      <w:r w:rsidR="00C22411" w:rsidRPr="003B06F8">
        <w:rPr>
          <w:rFonts w:ascii="Times New Roman" w:hAnsi="Times New Roman" w:cs="Times New Roman"/>
          <w:szCs w:val="23"/>
        </w:rPr>
        <w:t>P</w:t>
      </w:r>
      <w:r w:rsidRPr="003B06F8">
        <w:rPr>
          <w:rFonts w:ascii="Times New Roman" w:hAnsi="Times New Roman" w:cs="Times New Roman"/>
          <w:szCs w:val="23"/>
        </w:rPr>
        <w:t xml:space="preserve">laintiff withhold, object to, or otherwise refuse to provide the </w:t>
      </w:r>
      <w:r w:rsidR="003B06F8" w:rsidRPr="003B06F8">
        <w:rPr>
          <w:rFonts w:ascii="Times New Roman" w:hAnsi="Times New Roman" w:cs="Times New Roman"/>
          <w:szCs w:val="23"/>
        </w:rPr>
        <w:t>demanded information</w:t>
      </w:r>
      <w:r w:rsidRPr="003B06F8">
        <w:rPr>
          <w:rFonts w:ascii="Times New Roman" w:hAnsi="Times New Roman" w:cs="Times New Roman"/>
          <w:szCs w:val="23"/>
        </w:rPr>
        <w:t xml:space="preserve">, plaintiff must set forth with reasonable particularity the grounds for any objection(s) to production. </w:t>
      </w:r>
    </w:p>
    <w:p w14:paraId="3770B31D" w14:textId="77777777" w:rsidR="00602F50" w:rsidRDefault="0021212F" w:rsidP="003B06F8">
      <w:pPr>
        <w:pStyle w:val="Default"/>
        <w:spacing w:line="480" w:lineRule="auto"/>
        <w:jc w:val="both"/>
        <w:rPr>
          <w:rFonts w:ascii="Times New Roman" w:hAnsi="Times New Roman" w:cs="Times New Roman"/>
        </w:rPr>
      </w:pPr>
      <w:r w:rsidRPr="003B06F8">
        <w:rPr>
          <w:rFonts w:ascii="Times New Roman" w:hAnsi="Times New Roman" w:cs="Times New Roman"/>
          <w:b/>
          <w:bCs/>
        </w:rPr>
        <w:tab/>
      </w:r>
      <w:r w:rsidR="00602F50" w:rsidRPr="003B06F8">
        <w:rPr>
          <w:rFonts w:ascii="Times New Roman" w:hAnsi="Times New Roman" w:cs="Times New Roman"/>
        </w:rPr>
        <w:t xml:space="preserve"> </w:t>
      </w:r>
      <w:r w:rsidR="00602F50" w:rsidRPr="003B06F8">
        <w:rPr>
          <w:rFonts w:ascii="Times New Roman" w:hAnsi="Times New Roman" w:cs="Times New Roman"/>
          <w:b/>
          <w:bCs/>
        </w:rPr>
        <w:t>PLEASE TAKE FURTHER NOTICE</w:t>
      </w:r>
      <w:r w:rsidR="00602F50" w:rsidRPr="003B06F8">
        <w:rPr>
          <w:rFonts w:ascii="Times New Roman" w:hAnsi="Times New Roman" w:cs="Times New Roman"/>
        </w:rPr>
        <w:t>, that in the event of failure or refusal to comply with any of these demands, the demanding defendant will apply to the Court for the appropriate relief including, but not limited to, an Order compelling compliance pursuant to CPLR § 3124 and/or appropriate relief pursuant to CPLR § 3126 and 22 N.Y.C.R.R. Part 130.</w:t>
      </w:r>
    </w:p>
    <w:p w14:paraId="79942B22" w14:textId="77777777" w:rsidR="003B06F8" w:rsidRDefault="003B06F8" w:rsidP="003B06F8">
      <w:pPr>
        <w:jc w:val="both"/>
        <w:rPr>
          <w:rFonts w:eastAsia="Calibri"/>
          <w:szCs w:val="22"/>
        </w:rPr>
      </w:pPr>
    </w:p>
    <w:p w14:paraId="4447C21E" w14:textId="77777777" w:rsidR="003B06F8" w:rsidRPr="001E402D" w:rsidRDefault="003B06F8" w:rsidP="003B06F8">
      <w:pPr>
        <w:jc w:val="both"/>
        <w:rPr>
          <w:rFonts w:eastAsia="Calibri"/>
          <w:szCs w:val="22"/>
        </w:rPr>
      </w:pPr>
      <w:r w:rsidRPr="001E402D">
        <w:rPr>
          <w:rFonts w:eastAsia="Calibri"/>
          <w:szCs w:val="22"/>
        </w:rPr>
        <w:t>Dated:</w:t>
      </w:r>
      <w:r w:rsidRPr="001E402D">
        <w:rPr>
          <w:rFonts w:eastAsia="Calibri"/>
          <w:szCs w:val="22"/>
        </w:rPr>
        <w:tab/>
        <w:t>New York, New York</w:t>
      </w:r>
    </w:p>
    <w:p w14:paraId="0FEEE207" w14:textId="77777777" w:rsidR="003B06F8" w:rsidRPr="003B06F8" w:rsidRDefault="003B06F8" w:rsidP="003B06F8">
      <w:pPr>
        <w:pStyle w:val="Default"/>
        <w:spacing w:line="480" w:lineRule="auto"/>
        <w:jc w:val="both"/>
        <w:rPr>
          <w:rFonts w:ascii="Times New Roman" w:hAnsi="Times New Roman" w:cs="Times New Roman"/>
        </w:rPr>
      </w:pPr>
      <w:r>
        <w:tab/>
      </w:r>
      <w:r w:rsidR="00DB3429">
        <w:rPr>
          <w:rFonts w:ascii="Times New Roman" w:hAnsi="Times New Roman" w:cs="Times New Roman"/>
        </w:rPr>
        <w:t>DATE</w:t>
      </w:r>
      <w:r w:rsidR="00F51581">
        <w:rPr>
          <w:rFonts w:ascii="Times New Roman" w:hAnsi="Times New Roman" w:cs="Times New Roman"/>
        </w:rPr>
        <w:t>, 202</w:t>
      </w:r>
      <w:r w:rsidR="00DB3429">
        <w:rPr>
          <w:rFonts w:ascii="Times New Roman" w:hAnsi="Times New Roman" w:cs="Times New Roman"/>
        </w:rPr>
        <w:t>4</w:t>
      </w:r>
    </w:p>
    <w:p w14:paraId="5A61D3F3" w14:textId="77777777" w:rsidR="002B7652" w:rsidRPr="0007207A" w:rsidRDefault="00602F50" w:rsidP="006B5CEB">
      <w:pPr>
        <w:spacing w:line="480" w:lineRule="auto"/>
        <w:jc w:val="both"/>
        <w:rPr>
          <w:bCs/>
          <w:szCs w:val="24"/>
          <w:u w:val="single"/>
        </w:rPr>
      </w:pPr>
      <w:r w:rsidRPr="00DF4613">
        <w:rPr>
          <w:b/>
          <w:bCs/>
        </w:rPr>
        <w:tab/>
      </w:r>
      <w:r w:rsidRPr="00DF4613">
        <w:t xml:space="preserve"> </w:t>
      </w:r>
      <w:r w:rsidR="003B06F8">
        <w:tab/>
      </w:r>
      <w:r w:rsidR="003B06F8">
        <w:tab/>
      </w:r>
      <w:r w:rsidR="003B06F8">
        <w:tab/>
      </w:r>
      <w:r w:rsidR="003B06F8">
        <w:tab/>
      </w:r>
      <w:r w:rsidR="003B06F8">
        <w:tab/>
      </w:r>
      <w:r w:rsidR="003B06F8">
        <w:tab/>
      </w:r>
      <w:r w:rsidR="003B06F8">
        <w:tab/>
      </w:r>
      <w:r w:rsidR="003B06F8">
        <w:tab/>
      </w:r>
      <w:r w:rsidR="006B5CEB">
        <w:t>Respectfully</w:t>
      </w:r>
      <w:r w:rsidR="003B06F8">
        <w:t xml:space="preserve"> submitted,</w:t>
      </w:r>
    </w:p>
    <w:sectPr w:rsidR="002B7652" w:rsidRPr="0007207A" w:rsidSect="00612A1E">
      <w:footerReference w:type="default" r:id="rId10"/>
      <w:footerReference w:type="first" r:id="rId11"/>
      <w:endnotePr>
        <w:numFmt w:val="decimal"/>
      </w:endnotePr>
      <w:pgSz w:w="12240" w:h="15840"/>
      <w:pgMar w:top="1728" w:right="1440" w:bottom="172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8D4C" w14:textId="77777777" w:rsidR="00612A1E" w:rsidRDefault="00612A1E">
      <w:r>
        <w:separator/>
      </w:r>
    </w:p>
  </w:endnote>
  <w:endnote w:type="continuationSeparator" w:id="0">
    <w:p w14:paraId="12D184DB" w14:textId="77777777" w:rsidR="00612A1E" w:rsidRDefault="0061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F9DA" w14:textId="77777777" w:rsidR="009C1084" w:rsidRDefault="009C1084">
    <w:pPr>
      <w:pStyle w:val="Footer"/>
      <w:jc w:val="center"/>
    </w:pPr>
    <w:r>
      <w:fldChar w:fldCharType="begin"/>
    </w:r>
    <w:r>
      <w:instrText xml:space="preserve"> PAGE   \* MERGEFORMAT </w:instrText>
    </w:r>
    <w:r>
      <w:fldChar w:fldCharType="separate"/>
    </w:r>
    <w:r>
      <w:rPr>
        <w:noProof/>
      </w:rPr>
      <w:t>2</w:t>
    </w:r>
    <w:r>
      <w:rPr>
        <w:noProof/>
      </w:rPr>
      <w:fldChar w:fldCharType="end"/>
    </w:r>
  </w:p>
  <w:p w14:paraId="2DBFE4D5" w14:textId="77777777" w:rsidR="009C1084" w:rsidRDefault="009C1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73E2" w14:textId="77777777" w:rsidR="009C1084" w:rsidRPr="009C1084" w:rsidRDefault="009C1084">
    <w:pPr>
      <w:pStyle w:val="Footer"/>
      <w:rPr>
        <w:sz w:val="16"/>
        <w:szCs w:val="16"/>
      </w:rPr>
    </w:pPr>
    <w:r w:rsidRPr="009C1084">
      <w:rPr>
        <w:sz w:val="16"/>
        <w:szCs w:val="16"/>
      </w:rPr>
      <w:t>[2849216/1]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FAC6" w14:textId="77777777" w:rsidR="00612A1E" w:rsidRDefault="00612A1E">
      <w:r>
        <w:separator/>
      </w:r>
    </w:p>
  </w:footnote>
  <w:footnote w:type="continuationSeparator" w:id="0">
    <w:p w14:paraId="59709830" w14:textId="77777777" w:rsidR="00612A1E" w:rsidRDefault="00612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4843"/>
    <w:multiLevelType w:val="hybridMultilevel"/>
    <w:tmpl w:val="7C6E2E66"/>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1E5A25AC"/>
    <w:multiLevelType w:val="hybridMultilevel"/>
    <w:tmpl w:val="6F241D66"/>
    <w:lvl w:ilvl="0" w:tplc="38348EFA">
      <w:start w:val="1"/>
      <w:numFmt w:val="lowerLetter"/>
      <w:lvlText w:val="(%1)"/>
      <w:lvlJc w:val="left"/>
      <w:pPr>
        <w:tabs>
          <w:tab w:val="num" w:pos="2145"/>
        </w:tabs>
        <w:ind w:left="2145" w:hanging="70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C99380C"/>
    <w:multiLevelType w:val="hybridMultilevel"/>
    <w:tmpl w:val="84E82B8A"/>
    <w:lvl w:ilvl="0" w:tplc="FFFFFFFF">
      <w:start w:val="2"/>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46183DDC"/>
    <w:multiLevelType w:val="hybridMultilevel"/>
    <w:tmpl w:val="BDD2D828"/>
    <w:lvl w:ilvl="0" w:tplc="4186043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B621439"/>
    <w:multiLevelType w:val="hybridMultilevel"/>
    <w:tmpl w:val="C5CCB944"/>
    <w:lvl w:ilvl="0" w:tplc="7CECDD98">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592595150">
    <w:abstractNumId w:val="0"/>
  </w:num>
  <w:num w:numId="2" w16cid:durableId="1183201010">
    <w:abstractNumId w:val="2"/>
  </w:num>
  <w:num w:numId="3" w16cid:durableId="668752653">
    <w:abstractNumId w:val="1"/>
  </w:num>
  <w:num w:numId="4" w16cid:durableId="1544487721">
    <w:abstractNumId w:val="3"/>
  </w:num>
  <w:num w:numId="5" w16cid:durableId="1641183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187"/>
  <w:drawingGridVerticalSpacing w:val="12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E79"/>
    <w:rsid w:val="00027229"/>
    <w:rsid w:val="00032A23"/>
    <w:rsid w:val="00032B23"/>
    <w:rsid w:val="00044C43"/>
    <w:rsid w:val="00057ADD"/>
    <w:rsid w:val="0007207A"/>
    <w:rsid w:val="000801E4"/>
    <w:rsid w:val="000A2BDB"/>
    <w:rsid w:val="000A4623"/>
    <w:rsid w:val="000B548D"/>
    <w:rsid w:val="000C5367"/>
    <w:rsid w:val="000D718E"/>
    <w:rsid w:val="000F012B"/>
    <w:rsid w:val="00102EAB"/>
    <w:rsid w:val="0011707C"/>
    <w:rsid w:val="00143749"/>
    <w:rsid w:val="00150A5E"/>
    <w:rsid w:val="001525AF"/>
    <w:rsid w:val="00160036"/>
    <w:rsid w:val="00164866"/>
    <w:rsid w:val="00180EBF"/>
    <w:rsid w:val="001869A8"/>
    <w:rsid w:val="001950BA"/>
    <w:rsid w:val="001B0EA0"/>
    <w:rsid w:val="001D3350"/>
    <w:rsid w:val="001E5FF5"/>
    <w:rsid w:val="0021212F"/>
    <w:rsid w:val="0021691A"/>
    <w:rsid w:val="00240919"/>
    <w:rsid w:val="00242B6C"/>
    <w:rsid w:val="002450A8"/>
    <w:rsid w:val="002462A3"/>
    <w:rsid w:val="00246DFD"/>
    <w:rsid w:val="00262618"/>
    <w:rsid w:val="0027205A"/>
    <w:rsid w:val="0027322E"/>
    <w:rsid w:val="00282759"/>
    <w:rsid w:val="002A0E78"/>
    <w:rsid w:val="002B6CDD"/>
    <w:rsid w:val="002B7652"/>
    <w:rsid w:val="002C4706"/>
    <w:rsid w:val="002E286E"/>
    <w:rsid w:val="002E493E"/>
    <w:rsid w:val="002E71C1"/>
    <w:rsid w:val="002E7F42"/>
    <w:rsid w:val="002F4759"/>
    <w:rsid w:val="00300BF3"/>
    <w:rsid w:val="003034A4"/>
    <w:rsid w:val="00304DDE"/>
    <w:rsid w:val="00306937"/>
    <w:rsid w:val="00317661"/>
    <w:rsid w:val="003246B8"/>
    <w:rsid w:val="0034464D"/>
    <w:rsid w:val="00351F06"/>
    <w:rsid w:val="00354A70"/>
    <w:rsid w:val="003665C2"/>
    <w:rsid w:val="0037654D"/>
    <w:rsid w:val="003778CC"/>
    <w:rsid w:val="00383080"/>
    <w:rsid w:val="00391277"/>
    <w:rsid w:val="003959B3"/>
    <w:rsid w:val="003B06F8"/>
    <w:rsid w:val="003B1A63"/>
    <w:rsid w:val="003B31B0"/>
    <w:rsid w:val="003B7CD6"/>
    <w:rsid w:val="003F2C79"/>
    <w:rsid w:val="003F5AA3"/>
    <w:rsid w:val="003F7369"/>
    <w:rsid w:val="004000D7"/>
    <w:rsid w:val="00406004"/>
    <w:rsid w:val="004258FA"/>
    <w:rsid w:val="00425952"/>
    <w:rsid w:val="00436DED"/>
    <w:rsid w:val="0043783A"/>
    <w:rsid w:val="0049751A"/>
    <w:rsid w:val="004A7427"/>
    <w:rsid w:val="004B4B61"/>
    <w:rsid w:val="004C7ADB"/>
    <w:rsid w:val="004D2920"/>
    <w:rsid w:val="004D541E"/>
    <w:rsid w:val="004E5191"/>
    <w:rsid w:val="00505728"/>
    <w:rsid w:val="00527647"/>
    <w:rsid w:val="00532695"/>
    <w:rsid w:val="00537705"/>
    <w:rsid w:val="00543672"/>
    <w:rsid w:val="005500AD"/>
    <w:rsid w:val="005668AC"/>
    <w:rsid w:val="005938A4"/>
    <w:rsid w:val="005E7B03"/>
    <w:rsid w:val="00602F50"/>
    <w:rsid w:val="00612A1E"/>
    <w:rsid w:val="00646B8C"/>
    <w:rsid w:val="006643CF"/>
    <w:rsid w:val="006A771F"/>
    <w:rsid w:val="006B28C4"/>
    <w:rsid w:val="006B5CEB"/>
    <w:rsid w:val="006C0151"/>
    <w:rsid w:val="006D304D"/>
    <w:rsid w:val="006D4DBC"/>
    <w:rsid w:val="006D7889"/>
    <w:rsid w:val="006F7029"/>
    <w:rsid w:val="0070366A"/>
    <w:rsid w:val="007166DB"/>
    <w:rsid w:val="00720AC2"/>
    <w:rsid w:val="00722666"/>
    <w:rsid w:val="007613BC"/>
    <w:rsid w:val="00763CD2"/>
    <w:rsid w:val="00795989"/>
    <w:rsid w:val="007C65F8"/>
    <w:rsid w:val="007C6748"/>
    <w:rsid w:val="007D116D"/>
    <w:rsid w:val="007D2BBE"/>
    <w:rsid w:val="007E52B9"/>
    <w:rsid w:val="007F71AF"/>
    <w:rsid w:val="0080052A"/>
    <w:rsid w:val="008018DF"/>
    <w:rsid w:val="00814E79"/>
    <w:rsid w:val="008151D5"/>
    <w:rsid w:val="008174C4"/>
    <w:rsid w:val="00817F7F"/>
    <w:rsid w:val="0083544A"/>
    <w:rsid w:val="00847F58"/>
    <w:rsid w:val="008541B2"/>
    <w:rsid w:val="00855BB3"/>
    <w:rsid w:val="008573B3"/>
    <w:rsid w:val="00890DAA"/>
    <w:rsid w:val="00894F28"/>
    <w:rsid w:val="008A2172"/>
    <w:rsid w:val="008A7F1C"/>
    <w:rsid w:val="008B4E28"/>
    <w:rsid w:val="008E51B3"/>
    <w:rsid w:val="00914EA4"/>
    <w:rsid w:val="00915218"/>
    <w:rsid w:val="00930753"/>
    <w:rsid w:val="0096221C"/>
    <w:rsid w:val="00965CFD"/>
    <w:rsid w:val="00972F76"/>
    <w:rsid w:val="009831DB"/>
    <w:rsid w:val="00986A37"/>
    <w:rsid w:val="009C1084"/>
    <w:rsid w:val="009D7658"/>
    <w:rsid w:val="009E6BE1"/>
    <w:rsid w:val="009F599F"/>
    <w:rsid w:val="00A172A7"/>
    <w:rsid w:val="00A24B32"/>
    <w:rsid w:val="00A41FFD"/>
    <w:rsid w:val="00A46B57"/>
    <w:rsid w:val="00A56CD5"/>
    <w:rsid w:val="00A628A7"/>
    <w:rsid w:val="00A766E3"/>
    <w:rsid w:val="00A9218F"/>
    <w:rsid w:val="00AA1B87"/>
    <w:rsid w:val="00AB1127"/>
    <w:rsid w:val="00AC3700"/>
    <w:rsid w:val="00AC4FDF"/>
    <w:rsid w:val="00AE4A16"/>
    <w:rsid w:val="00AE65A2"/>
    <w:rsid w:val="00AF641D"/>
    <w:rsid w:val="00B043A0"/>
    <w:rsid w:val="00B21720"/>
    <w:rsid w:val="00B50F62"/>
    <w:rsid w:val="00B54DF3"/>
    <w:rsid w:val="00B65CE1"/>
    <w:rsid w:val="00B84E1A"/>
    <w:rsid w:val="00BA5A31"/>
    <w:rsid w:val="00BC7413"/>
    <w:rsid w:val="00BD2695"/>
    <w:rsid w:val="00BF4BF3"/>
    <w:rsid w:val="00C121F5"/>
    <w:rsid w:val="00C22411"/>
    <w:rsid w:val="00C4102B"/>
    <w:rsid w:val="00C837AA"/>
    <w:rsid w:val="00C83FC0"/>
    <w:rsid w:val="00CA59E6"/>
    <w:rsid w:val="00CB13ED"/>
    <w:rsid w:val="00CB694D"/>
    <w:rsid w:val="00CB73D9"/>
    <w:rsid w:val="00CB7FD4"/>
    <w:rsid w:val="00CC0F46"/>
    <w:rsid w:val="00CE243F"/>
    <w:rsid w:val="00CF3B64"/>
    <w:rsid w:val="00D11D03"/>
    <w:rsid w:val="00D161EC"/>
    <w:rsid w:val="00D311F0"/>
    <w:rsid w:val="00D45DE2"/>
    <w:rsid w:val="00D5603A"/>
    <w:rsid w:val="00D617FF"/>
    <w:rsid w:val="00D653F1"/>
    <w:rsid w:val="00D752AC"/>
    <w:rsid w:val="00D756C0"/>
    <w:rsid w:val="00D81729"/>
    <w:rsid w:val="00D83D50"/>
    <w:rsid w:val="00D864A0"/>
    <w:rsid w:val="00DA3345"/>
    <w:rsid w:val="00DB3429"/>
    <w:rsid w:val="00DC0A72"/>
    <w:rsid w:val="00DD2F3E"/>
    <w:rsid w:val="00DD3954"/>
    <w:rsid w:val="00DE7423"/>
    <w:rsid w:val="00DF0D13"/>
    <w:rsid w:val="00DF4BAC"/>
    <w:rsid w:val="00E02ED5"/>
    <w:rsid w:val="00E049C5"/>
    <w:rsid w:val="00E04C14"/>
    <w:rsid w:val="00E10A58"/>
    <w:rsid w:val="00E15EFF"/>
    <w:rsid w:val="00E24BD7"/>
    <w:rsid w:val="00E53A9E"/>
    <w:rsid w:val="00E66BD1"/>
    <w:rsid w:val="00E8090C"/>
    <w:rsid w:val="00EA27EB"/>
    <w:rsid w:val="00EB4CE6"/>
    <w:rsid w:val="00EC5BD1"/>
    <w:rsid w:val="00ED1741"/>
    <w:rsid w:val="00ED3279"/>
    <w:rsid w:val="00EF592E"/>
    <w:rsid w:val="00EF617A"/>
    <w:rsid w:val="00F43062"/>
    <w:rsid w:val="00F51581"/>
    <w:rsid w:val="00F55D88"/>
    <w:rsid w:val="00F77C39"/>
    <w:rsid w:val="00F87CCF"/>
    <w:rsid w:val="00FA5F69"/>
    <w:rsid w:val="00FA62A7"/>
    <w:rsid w:val="00FB614E"/>
    <w:rsid w:val="00FB793B"/>
    <w:rsid w:val="00FD33EC"/>
    <w:rsid w:val="00FD4452"/>
    <w:rsid w:val="00FE262E"/>
    <w:rsid w:val="00FE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6576B"/>
  <w15:chartTrackingRefBased/>
  <w15:docId w15:val="{D832B7FF-F3BD-4662-814A-FC7671C8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outlineLvl w:val="1"/>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widowControl/>
      <w:spacing w:line="480" w:lineRule="auto"/>
      <w:ind w:firstLine="720"/>
    </w:pPr>
    <w:rPr>
      <w:snapToGrid/>
      <w:color w:val="000000"/>
    </w:rPr>
  </w:style>
  <w:style w:type="paragraph" w:customStyle="1" w:styleId="DefaultText">
    <w:name w:val="Default Text"/>
    <w:basedOn w:val="Normal"/>
    <w:pPr>
      <w:widowControl/>
    </w:pPr>
    <w:rPr>
      <w:snapToGrid/>
    </w:rPr>
  </w:style>
  <w:style w:type="character" w:styleId="Hyperlink">
    <w:name w:val="Hyperlink"/>
    <w:uiPriority w:val="99"/>
    <w:unhideWhenUsed/>
    <w:rsid w:val="00143749"/>
    <w:rPr>
      <w:color w:val="0000FF"/>
      <w:u w:val="single"/>
    </w:rPr>
  </w:style>
  <w:style w:type="paragraph" w:customStyle="1" w:styleId="Default">
    <w:name w:val="Default"/>
    <w:rsid w:val="00602F5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02F50"/>
    <w:rPr>
      <w:snapToGrid w:val="0"/>
      <w:sz w:val="24"/>
    </w:rPr>
  </w:style>
  <w:style w:type="paragraph" w:customStyle="1" w:styleId="Style0">
    <w:name w:val="Style0"/>
    <w:rsid w:val="008541B2"/>
    <w:rPr>
      <w:rFonts w:ascii="Arial" w:hAnsi="Arial"/>
      <w:snapToGrid w:val="0"/>
      <w:sz w:val="24"/>
    </w:rPr>
  </w:style>
  <w:style w:type="paragraph" w:styleId="BodyText">
    <w:name w:val="Body Text"/>
    <w:basedOn w:val="Normal"/>
    <w:link w:val="BodyTextChar"/>
    <w:uiPriority w:val="99"/>
    <w:semiHidden/>
    <w:unhideWhenUsed/>
    <w:rsid w:val="0021212F"/>
    <w:pPr>
      <w:spacing w:after="120"/>
    </w:pPr>
  </w:style>
  <w:style w:type="character" w:customStyle="1" w:styleId="BodyTextChar">
    <w:name w:val="Body Text Char"/>
    <w:link w:val="BodyText"/>
    <w:uiPriority w:val="99"/>
    <w:semiHidden/>
    <w:rsid w:val="0021212F"/>
    <w:rPr>
      <w:snapToGrid w:val="0"/>
      <w:sz w:val="24"/>
    </w:rPr>
  </w:style>
  <w:style w:type="paragraph" w:customStyle="1" w:styleId="10sp2">
    <w:name w:val="_1.0sp 2&quot;"/>
    <w:basedOn w:val="Normal"/>
    <w:qFormat/>
    <w:rsid w:val="0021212F"/>
    <w:pPr>
      <w:widowControl/>
      <w:suppressAutoHyphens/>
      <w:spacing w:after="240"/>
      <w:ind w:firstLine="2880"/>
    </w:pPr>
    <w:rPr>
      <w:rFonts w:ascii="Arial" w:eastAsia="SimSun" w:hAnsi="Arial" w:cs="Arial"/>
      <w:snapToGrid/>
    </w:rPr>
  </w:style>
  <w:style w:type="paragraph" w:styleId="ListParagraph">
    <w:name w:val="List Paragraph"/>
    <w:basedOn w:val="Normal"/>
    <w:uiPriority w:val="34"/>
    <w:qFormat/>
    <w:rsid w:val="00C22411"/>
    <w:pPr>
      <w:ind w:left="720"/>
    </w:pPr>
  </w:style>
  <w:style w:type="character" w:styleId="CommentReference">
    <w:name w:val="annotation reference"/>
    <w:uiPriority w:val="99"/>
    <w:semiHidden/>
    <w:unhideWhenUsed/>
    <w:rsid w:val="0070366A"/>
    <w:rPr>
      <w:sz w:val="16"/>
      <w:szCs w:val="16"/>
    </w:rPr>
  </w:style>
  <w:style w:type="paragraph" w:styleId="CommentText">
    <w:name w:val="annotation text"/>
    <w:basedOn w:val="Normal"/>
    <w:link w:val="CommentTextChar"/>
    <w:uiPriority w:val="99"/>
    <w:unhideWhenUsed/>
    <w:rsid w:val="0070366A"/>
    <w:rPr>
      <w:sz w:val="20"/>
    </w:rPr>
  </w:style>
  <w:style w:type="character" w:customStyle="1" w:styleId="CommentTextChar">
    <w:name w:val="Comment Text Char"/>
    <w:link w:val="CommentText"/>
    <w:uiPriority w:val="99"/>
    <w:rsid w:val="0070366A"/>
    <w:rPr>
      <w:snapToGrid w:val="0"/>
    </w:rPr>
  </w:style>
  <w:style w:type="paragraph" w:styleId="CommentSubject">
    <w:name w:val="annotation subject"/>
    <w:basedOn w:val="CommentText"/>
    <w:next w:val="CommentText"/>
    <w:link w:val="CommentSubjectChar"/>
    <w:uiPriority w:val="99"/>
    <w:semiHidden/>
    <w:unhideWhenUsed/>
    <w:rsid w:val="0070366A"/>
    <w:rPr>
      <w:b/>
      <w:bCs/>
    </w:rPr>
  </w:style>
  <w:style w:type="character" w:customStyle="1" w:styleId="CommentSubjectChar">
    <w:name w:val="Comment Subject Char"/>
    <w:link w:val="CommentSubject"/>
    <w:uiPriority w:val="99"/>
    <w:semiHidden/>
    <w:rsid w:val="0070366A"/>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07">
      <w:bodyDiv w:val="1"/>
      <w:marLeft w:val="0"/>
      <w:marRight w:val="0"/>
      <w:marTop w:val="0"/>
      <w:marBottom w:val="0"/>
      <w:divBdr>
        <w:top w:val="none" w:sz="0" w:space="0" w:color="auto"/>
        <w:left w:val="none" w:sz="0" w:space="0" w:color="auto"/>
        <w:bottom w:val="none" w:sz="0" w:space="0" w:color="auto"/>
        <w:right w:val="none" w:sz="0" w:space="0" w:color="auto"/>
      </w:divBdr>
    </w:div>
    <w:div w:id="8684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ed7874-d737-4344-9277-792de38091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BDDFC1E4F76468B79D96E19CAEB90" ma:contentTypeVersion="8" ma:contentTypeDescription="Create a new document." ma:contentTypeScope="" ma:versionID="b53da53a21537369c8f212c739af0e13">
  <xsd:schema xmlns:xsd="http://www.w3.org/2001/XMLSchema" xmlns:xs="http://www.w3.org/2001/XMLSchema" xmlns:p="http://schemas.microsoft.com/office/2006/metadata/properties" xmlns:ns3="78ed7874-d737-4344-9277-792de38091d3" xmlns:ns4="8b8a8a5f-2db6-45d7-8849-472a419b888c" targetNamespace="http://schemas.microsoft.com/office/2006/metadata/properties" ma:root="true" ma:fieldsID="966a213cdd84ea912583dc597f4f8354" ns3:_="" ns4:_="">
    <xsd:import namespace="78ed7874-d737-4344-9277-792de38091d3"/>
    <xsd:import namespace="8b8a8a5f-2db6-45d7-8849-472a419b888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d7874-d737-4344-9277-792de3809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a8a5f-2db6-45d7-8849-472a419b88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1B488-364F-4D82-8082-F01ED72ECBFA}">
  <ds:schemaRefs>
    <ds:schemaRef ds:uri="http://schemas.microsoft.com/office/2006/metadata/properties"/>
    <ds:schemaRef ds:uri="http://schemas.microsoft.com/office/infopath/2007/PartnerControls"/>
    <ds:schemaRef ds:uri="78ed7874-d737-4344-9277-792de38091d3"/>
  </ds:schemaRefs>
</ds:datastoreItem>
</file>

<file path=customXml/itemProps2.xml><?xml version="1.0" encoding="utf-8"?>
<ds:datastoreItem xmlns:ds="http://schemas.openxmlformats.org/officeDocument/2006/customXml" ds:itemID="{152EB595-3A05-4F8E-B9EC-8631D0F6588F}">
  <ds:schemaRefs>
    <ds:schemaRef ds:uri="http://schemas.microsoft.com/sharepoint/v3/contenttype/forms"/>
  </ds:schemaRefs>
</ds:datastoreItem>
</file>

<file path=customXml/itemProps3.xml><?xml version="1.0" encoding="utf-8"?>
<ds:datastoreItem xmlns:ds="http://schemas.openxmlformats.org/officeDocument/2006/customXml" ds:itemID="{E577F31E-6F8A-4D1B-B96F-1BB6B8375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d7874-d737-4344-9277-792de38091d3"/>
    <ds:schemaRef ds:uri="8b8a8a5f-2db6-45d7-8849-472a419b8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BP14 - SMC'S VERSION OF DEMAND FOR A BILL OF PARTICULARS</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BP14 - SMC'S VERSION OF DEMAND FOR A BILL OF PARTICULARS</dc:title>
  <dc:subject/>
  <dc:creator>BFCuser</dc:creator>
  <cp:keywords/>
  <dc:description/>
  <cp:lastModifiedBy>Timothy Capowski, Esq.</cp:lastModifiedBy>
  <cp:revision>3</cp:revision>
  <cp:lastPrinted>2009-12-08T15:58:00Z</cp:lastPrinted>
  <dcterms:created xsi:type="dcterms:W3CDTF">2024-02-24T22:52:00Z</dcterms:created>
  <dcterms:modified xsi:type="dcterms:W3CDTF">2024-02-24T22:53:00Z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C:\NRPORTBL\BFC\HERTZS\103021_1.DOC</vt:lpwstr>
  </property>
  <property fmtid="{D5CDD505-2E9C-101B-9397-08002B2CF9AE}" pid="3" name="Converted State">
    <vt:lpwstr>True</vt:lpwstr>
  </property>
  <property fmtid="{D5CDD505-2E9C-101B-9397-08002B2CF9AE}" pid="4" name="Converted Date">
    <vt:lpwstr>22-Feb-2000</vt:lpwstr>
  </property>
  <property fmtid="{D5CDD505-2E9C-101B-9397-08002B2CF9AE}" pid="5" name="WPClean Version">
    <vt:lpwstr>1.9.1.1</vt:lpwstr>
  </property>
  <property fmtid="{D5CDD505-2E9C-101B-9397-08002B2CF9AE}" pid="6" name="DocumentSk">
    <vt:i4>2179868</vt:i4>
  </property>
  <property fmtid="{D5CDD505-2E9C-101B-9397-08002B2CF9AE}" pid="7" name="CaseSk">
    <vt:i4>18348</vt:i4>
  </property>
  <property fmtid="{D5CDD505-2E9C-101B-9397-08002B2CF9AE}" pid="8" name="ContentTypeId">
    <vt:lpwstr>0x010100DEDBDDFC1E4F76468B79D96E19CAEB90</vt:lpwstr>
  </property>
</Properties>
</file>