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535A8" w14:textId="68961B80" w:rsidR="00A70148" w:rsidRPr="00FC782B" w:rsidRDefault="007003E8" w:rsidP="00FC782B">
      <w:pPr>
        <w:spacing w:after="0" w:line="240" w:lineRule="auto"/>
        <w:jc w:val="center"/>
        <w:rPr>
          <w:rFonts w:ascii="Times New Roman" w:hAnsi="Times New Roman" w:cs="Times New Roman"/>
          <w:bCs/>
          <w:kern w:val="0"/>
          <w:sz w:val="24"/>
          <w:szCs w:val="24"/>
          <w14:ligatures w14:val="none"/>
        </w:rPr>
      </w:pPr>
      <w:r w:rsidRPr="00FC782B">
        <w:rPr>
          <w:rFonts w:ascii="Times New Roman" w:hAnsi="Times New Roman"/>
          <w:bCs/>
          <w:sz w:val="24"/>
          <w:szCs w:val="24"/>
        </w:rPr>
        <w:t>DEFENDANTS’ PRE-</w:t>
      </w:r>
      <w:r w:rsidR="007C3A1A">
        <w:rPr>
          <w:rFonts w:ascii="Times New Roman" w:hAnsi="Times New Roman"/>
          <w:bCs/>
          <w:sz w:val="24"/>
          <w:szCs w:val="24"/>
        </w:rPr>
        <w:t>TRIAL</w:t>
      </w:r>
      <w:r w:rsidRPr="00FC782B">
        <w:rPr>
          <w:rFonts w:ascii="Times New Roman" w:hAnsi="Times New Roman"/>
          <w:bCs/>
          <w:sz w:val="24"/>
          <w:szCs w:val="24"/>
        </w:rPr>
        <w:t xml:space="preserve"> MOTION </w:t>
      </w:r>
      <w:r w:rsidRPr="00FC782B">
        <w:rPr>
          <w:rFonts w:ascii="Times New Roman" w:hAnsi="Times New Roman"/>
          <w:bCs/>
          <w:i/>
          <w:sz w:val="24"/>
          <w:szCs w:val="24"/>
        </w:rPr>
        <w:t>IN LIMINE</w:t>
      </w:r>
      <w:r w:rsidRPr="00FC782B">
        <w:rPr>
          <w:rFonts w:ascii="Times New Roman" w:hAnsi="Times New Roman"/>
          <w:bCs/>
          <w:sz w:val="24"/>
          <w:szCs w:val="24"/>
        </w:rPr>
        <w:t xml:space="preserve"> TO PRECLUDE </w:t>
      </w:r>
      <w:r w:rsidR="002D19A9">
        <w:rPr>
          <w:rFonts w:ascii="Times New Roman" w:hAnsi="Times New Roman"/>
          <w:bCs/>
          <w:sz w:val="24"/>
          <w:szCs w:val="24"/>
        </w:rPr>
        <w:t xml:space="preserve">MENTION OF INSURANCE OR WEALTH AND RELATED </w:t>
      </w:r>
      <w:r w:rsidR="007A0B84">
        <w:rPr>
          <w:rFonts w:ascii="Times New Roman" w:hAnsi="Times New Roman"/>
          <w:bCs/>
          <w:sz w:val="24"/>
          <w:szCs w:val="24"/>
        </w:rPr>
        <w:t>ANTI-CORPORATE ATTACKS</w:t>
      </w:r>
    </w:p>
    <w:p w14:paraId="40D266FB" w14:textId="77777777" w:rsidR="00A70148" w:rsidRPr="007003E8" w:rsidRDefault="00A70148" w:rsidP="00B74A9A">
      <w:pPr>
        <w:spacing w:after="0" w:line="240" w:lineRule="auto"/>
        <w:jc w:val="center"/>
        <w:rPr>
          <w:rFonts w:ascii="Times New Roman" w:hAnsi="Times New Roman" w:cs="Times New Roman"/>
          <w:bCs/>
          <w:kern w:val="0"/>
          <w:sz w:val="24"/>
          <w:szCs w:val="24"/>
          <w14:ligatures w14:val="none"/>
        </w:rPr>
      </w:pPr>
    </w:p>
    <w:p w14:paraId="3A549D91" w14:textId="77777777" w:rsidR="00F04DC1" w:rsidRPr="007003E8" w:rsidRDefault="00F04DC1" w:rsidP="00B74A9A">
      <w:pPr>
        <w:spacing w:after="0" w:line="240" w:lineRule="auto"/>
        <w:contextualSpacing/>
        <w:jc w:val="both"/>
        <w:rPr>
          <w:rFonts w:ascii="Times New Roman" w:hAnsi="Times New Roman" w:cs="Times New Roman"/>
          <w:b/>
          <w:sz w:val="24"/>
          <w:szCs w:val="24"/>
        </w:rPr>
      </w:pPr>
    </w:p>
    <w:p w14:paraId="0C1D64F6" w14:textId="77777777" w:rsidR="00F04DC1" w:rsidRPr="007003E8" w:rsidRDefault="00F04DC1" w:rsidP="00B74A9A">
      <w:pPr>
        <w:spacing w:after="0" w:line="240" w:lineRule="auto"/>
        <w:ind w:left="4320"/>
        <w:contextualSpacing/>
        <w:rPr>
          <w:rFonts w:ascii="Times New Roman" w:eastAsia="Calibri" w:hAnsi="Times New Roman" w:cs="Times New Roman"/>
          <w:sz w:val="24"/>
          <w:szCs w:val="24"/>
        </w:rPr>
      </w:pPr>
      <w:r w:rsidRPr="007003E8">
        <w:rPr>
          <w:rFonts w:ascii="Times New Roman" w:eastAsia="Calibri" w:hAnsi="Times New Roman" w:cs="Times New Roman"/>
          <w:sz w:val="24"/>
          <w:szCs w:val="24"/>
        </w:rPr>
        <w:t>Respectfully submitted,</w:t>
      </w:r>
    </w:p>
    <w:p w14:paraId="5EB6F3D4" w14:textId="77777777" w:rsidR="00F04DC1" w:rsidRPr="007003E8" w:rsidRDefault="00F04DC1" w:rsidP="00B74A9A">
      <w:pPr>
        <w:spacing w:after="0" w:line="240" w:lineRule="auto"/>
        <w:ind w:left="4320"/>
        <w:contextualSpacing/>
        <w:rPr>
          <w:rFonts w:ascii="Times New Roman" w:eastAsia="Calibri" w:hAnsi="Times New Roman" w:cs="Times New Roman"/>
          <w:sz w:val="24"/>
          <w:szCs w:val="24"/>
        </w:rPr>
      </w:pPr>
    </w:p>
    <w:p w14:paraId="40943F7C" w14:textId="575E7410" w:rsidR="002C3539" w:rsidRPr="00620207" w:rsidRDefault="00CD1B6C" w:rsidP="0059619F">
      <w:pPr>
        <w:spacing w:after="0" w:line="240" w:lineRule="auto"/>
        <w:contextualSpacing/>
        <w:rPr>
          <w:rFonts w:ascii="Times New Roman" w:eastAsia="Calibri" w:hAnsi="Times New Roman" w:cs="Times New Roman"/>
          <w:sz w:val="24"/>
          <w:szCs w:val="24"/>
        </w:rPr>
      </w:pPr>
      <w:r w:rsidRPr="007003E8">
        <w:rPr>
          <w:rFonts w:ascii="Times New Roman" w:eastAsia="Calibri" w:hAnsi="Times New Roman" w:cs="Times New Roman"/>
          <w:b/>
          <w:bCs/>
          <w:iCs/>
          <w:sz w:val="24"/>
          <w:szCs w:val="24"/>
        </w:rPr>
        <w:t>DATED</w:t>
      </w:r>
      <w:r w:rsidRPr="007003E8">
        <w:rPr>
          <w:rFonts w:ascii="Times New Roman" w:eastAsia="Calibri" w:hAnsi="Times New Roman" w:cs="Times New Roman"/>
          <w:iCs/>
          <w:sz w:val="24"/>
          <w:szCs w:val="24"/>
        </w:rPr>
        <w:t>:</w:t>
      </w:r>
    </w:p>
    <w:p w14:paraId="37D4737D" w14:textId="77777777" w:rsidR="00F04DC1" w:rsidRPr="00620207" w:rsidRDefault="00F04DC1" w:rsidP="00B74A9A">
      <w:pPr>
        <w:spacing w:after="0" w:line="480" w:lineRule="auto"/>
        <w:contextualSpacing/>
        <w:rPr>
          <w:rFonts w:ascii="Times New Roman" w:eastAsia="Calibri" w:hAnsi="Times New Roman" w:cs="Times New Roman"/>
          <w:iCs/>
          <w:sz w:val="24"/>
          <w:szCs w:val="24"/>
        </w:rPr>
      </w:pPr>
    </w:p>
    <w:p w14:paraId="36F425E6" w14:textId="77777777" w:rsidR="00F04DC1" w:rsidRPr="00620207" w:rsidRDefault="00F04DC1" w:rsidP="00B74A9A">
      <w:pPr>
        <w:spacing w:after="0" w:line="480" w:lineRule="auto"/>
        <w:rPr>
          <w:rFonts w:ascii="Times New Roman" w:eastAsia="Times New Roman" w:hAnsi="Times New Roman" w:cs="Times New Roman"/>
          <w:b/>
          <w:kern w:val="0"/>
          <w:sz w:val="24"/>
          <w:szCs w:val="24"/>
          <w14:ligatures w14:val="none"/>
        </w:rPr>
      </w:pPr>
    </w:p>
    <w:p w14:paraId="64355706" w14:textId="77777777" w:rsidR="00F04DC1" w:rsidRPr="00620207" w:rsidRDefault="00F04DC1" w:rsidP="00B74A9A">
      <w:pPr>
        <w:spacing w:after="0" w:line="480" w:lineRule="auto"/>
        <w:contextualSpacing/>
        <w:rPr>
          <w:rFonts w:ascii="Times New Roman" w:hAnsi="Times New Roman" w:cs="Times New Roman"/>
          <w:bCs/>
          <w:kern w:val="0"/>
          <w:sz w:val="24"/>
          <w:szCs w:val="24"/>
          <w14:ligatures w14:val="none"/>
        </w:rPr>
      </w:pPr>
    </w:p>
    <w:p w14:paraId="3691D3D2" w14:textId="77777777" w:rsidR="001363E3" w:rsidRPr="00620207" w:rsidRDefault="001363E3" w:rsidP="00B74A9A">
      <w:pPr>
        <w:spacing w:after="0" w:line="480" w:lineRule="auto"/>
        <w:rPr>
          <w:rFonts w:ascii="Times New Roman" w:hAnsi="Times New Roman" w:cs="Times New Roman"/>
          <w:sz w:val="24"/>
          <w:szCs w:val="24"/>
          <w:u w:val="single"/>
        </w:rPr>
      </w:pPr>
      <w:r w:rsidRPr="00620207">
        <w:rPr>
          <w:rFonts w:ascii="Times New Roman" w:hAnsi="Times New Roman" w:cs="Times New Roman"/>
          <w:sz w:val="24"/>
          <w:szCs w:val="24"/>
          <w:u w:val="single"/>
        </w:rPr>
        <w:br w:type="page"/>
      </w:r>
    </w:p>
    <w:p w14:paraId="158FFDBD" w14:textId="77777777" w:rsidR="00E72288" w:rsidRDefault="00BA26BE" w:rsidP="006E1C62">
      <w:pPr>
        <w:spacing w:after="0"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Defendant makes this motion for a pre-emptive order barring plaintiff’s counsel from</w:t>
      </w:r>
      <w:r w:rsidR="006E1C62">
        <w:rPr>
          <w:rFonts w:ascii="Times New Roman" w:eastAsia="Calibri" w:hAnsi="Times New Roman" w:cs="Times New Roman"/>
          <w:sz w:val="24"/>
          <w:szCs w:val="24"/>
        </w:rPr>
        <w:t xml:space="preserve"> commentary and questions intended to</w:t>
      </w:r>
      <w:r>
        <w:rPr>
          <w:rFonts w:ascii="Times New Roman" w:eastAsia="Calibri" w:hAnsi="Times New Roman" w:cs="Times New Roman"/>
          <w:sz w:val="24"/>
          <w:szCs w:val="24"/>
        </w:rPr>
        <w:t xml:space="preserve"> gin up anti-corporate animus</w:t>
      </w:r>
      <w:r w:rsidR="009861D0">
        <w:rPr>
          <w:rFonts w:ascii="Times New Roman" w:eastAsia="Calibri" w:hAnsi="Times New Roman" w:cs="Times New Roman"/>
          <w:sz w:val="24"/>
          <w:szCs w:val="24"/>
        </w:rPr>
        <w:t xml:space="preserve">, including such baseless tropes as corporate defendants “seeking a discount,” </w:t>
      </w:r>
      <w:r w:rsidR="00E72288">
        <w:rPr>
          <w:rFonts w:ascii="Times New Roman" w:eastAsia="Calibri" w:hAnsi="Times New Roman" w:cs="Times New Roman"/>
          <w:sz w:val="24"/>
          <w:szCs w:val="24"/>
        </w:rPr>
        <w:t xml:space="preserve">being “cheap,” or “placing profits over safety.” </w:t>
      </w:r>
    </w:p>
    <w:p w14:paraId="4AA00910" w14:textId="781BD6E8" w:rsidR="00873AFC" w:rsidRDefault="00E72288" w:rsidP="006E1C62">
      <w:pPr>
        <w:spacing w:after="0"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Absent evidence establishing any of the foregoing illicit motives,</w:t>
      </w:r>
      <w:r w:rsidR="009E2875">
        <w:rPr>
          <w:rFonts w:ascii="Times New Roman" w:eastAsia="Calibri" w:hAnsi="Times New Roman" w:cs="Times New Roman"/>
          <w:sz w:val="24"/>
          <w:szCs w:val="24"/>
        </w:rPr>
        <w:t xml:space="preserve"> </w:t>
      </w:r>
      <w:r w:rsidR="00A51E07">
        <w:rPr>
          <w:rFonts w:ascii="Times New Roman" w:eastAsia="Calibri" w:hAnsi="Times New Roman" w:cs="Times New Roman"/>
          <w:sz w:val="24"/>
          <w:szCs w:val="24"/>
        </w:rPr>
        <w:t>invoking the</w:t>
      </w:r>
      <w:r w:rsidR="00EA2BF7">
        <w:rPr>
          <w:rFonts w:ascii="Times New Roman" w:eastAsia="Calibri" w:hAnsi="Times New Roman" w:cs="Times New Roman"/>
          <w:sz w:val="24"/>
          <w:szCs w:val="24"/>
        </w:rPr>
        <w:t>m</w:t>
      </w:r>
      <w:r w:rsidR="00A51E07">
        <w:rPr>
          <w:rFonts w:ascii="Times New Roman" w:eastAsia="Calibri" w:hAnsi="Times New Roman" w:cs="Times New Roman"/>
          <w:sz w:val="24"/>
          <w:szCs w:val="24"/>
        </w:rPr>
        <w:t xml:space="preserve"> is</w:t>
      </w:r>
      <w:r w:rsidR="009E2875">
        <w:rPr>
          <w:rFonts w:ascii="Times New Roman" w:eastAsia="Calibri" w:hAnsi="Times New Roman" w:cs="Times New Roman"/>
          <w:sz w:val="24"/>
          <w:szCs w:val="24"/>
        </w:rPr>
        <w:t xml:space="preserve"> manifestly improper and unduly prejudicial. I</w:t>
      </w:r>
      <w:r w:rsidR="006E1C62">
        <w:rPr>
          <w:rFonts w:ascii="Times New Roman" w:eastAsia="Calibri" w:hAnsi="Times New Roman" w:cs="Times New Roman"/>
          <w:sz w:val="24"/>
          <w:szCs w:val="24"/>
        </w:rPr>
        <w:t>t is</w:t>
      </w:r>
      <w:r w:rsidR="004174E1">
        <w:rPr>
          <w:rFonts w:ascii="Times New Roman" w:eastAsia="Calibri" w:hAnsi="Times New Roman" w:cs="Times New Roman"/>
          <w:sz w:val="24"/>
          <w:szCs w:val="24"/>
        </w:rPr>
        <w:t xml:space="preserve"> “</w:t>
      </w:r>
      <w:r w:rsidR="004174E1" w:rsidRPr="004174E1">
        <w:rPr>
          <w:rFonts w:ascii="Times New Roman" w:eastAsia="Calibri" w:hAnsi="Times New Roman" w:cs="Times New Roman"/>
          <w:sz w:val="24"/>
          <w:szCs w:val="24"/>
        </w:rPr>
        <w:t xml:space="preserve">fundamental that counsel, in summing up, must stay within </w:t>
      </w:r>
      <w:r w:rsidR="004174E1">
        <w:rPr>
          <w:rFonts w:ascii="Times New Roman" w:eastAsia="Calibri" w:hAnsi="Times New Roman" w:cs="Times New Roman"/>
          <w:sz w:val="24"/>
          <w:szCs w:val="24"/>
        </w:rPr>
        <w:t>‘</w:t>
      </w:r>
      <w:r w:rsidR="004174E1" w:rsidRPr="004174E1">
        <w:rPr>
          <w:rFonts w:ascii="Times New Roman" w:eastAsia="Calibri" w:hAnsi="Times New Roman" w:cs="Times New Roman"/>
          <w:sz w:val="24"/>
          <w:szCs w:val="24"/>
        </w:rPr>
        <w:t>the four corners of the evidence</w:t>
      </w:r>
      <w:r w:rsidR="004174E1">
        <w:rPr>
          <w:rFonts w:ascii="Times New Roman" w:eastAsia="Calibri" w:hAnsi="Times New Roman" w:cs="Times New Roman"/>
          <w:sz w:val="24"/>
          <w:szCs w:val="24"/>
        </w:rPr>
        <w:t>’</w:t>
      </w:r>
      <w:r w:rsidR="004174E1" w:rsidRPr="004174E1">
        <w:rPr>
          <w:rFonts w:ascii="Times New Roman" w:eastAsia="Calibri" w:hAnsi="Times New Roman" w:cs="Times New Roman"/>
          <w:sz w:val="24"/>
          <w:szCs w:val="24"/>
        </w:rPr>
        <w:t xml:space="preserve"> and avoid irrelevant comments which have no bearing on any legitimate issue in the case.</w:t>
      </w:r>
      <w:r w:rsidR="004174E1">
        <w:rPr>
          <w:rFonts w:ascii="Times New Roman" w:eastAsia="Calibri" w:hAnsi="Times New Roman" w:cs="Times New Roman"/>
          <w:sz w:val="24"/>
          <w:szCs w:val="24"/>
        </w:rPr>
        <w:t xml:space="preserve">” </w:t>
      </w:r>
      <w:r w:rsidR="004174E1" w:rsidRPr="00C62832">
        <w:rPr>
          <w:rFonts w:ascii="Times New Roman" w:eastAsia="Calibri" w:hAnsi="Times New Roman" w:cs="Times New Roman"/>
          <w:sz w:val="24"/>
          <w:szCs w:val="24"/>
          <w:u w:val="single"/>
        </w:rPr>
        <w:t xml:space="preserve">People v. </w:t>
      </w:r>
      <w:proofErr w:type="spellStart"/>
      <w:r w:rsidR="004174E1" w:rsidRPr="00C62832">
        <w:rPr>
          <w:rFonts w:ascii="Times New Roman" w:eastAsia="Calibri" w:hAnsi="Times New Roman" w:cs="Times New Roman"/>
          <w:sz w:val="24"/>
          <w:szCs w:val="24"/>
          <w:u w:val="single"/>
        </w:rPr>
        <w:t>Ashwal</w:t>
      </w:r>
      <w:proofErr w:type="spellEnd"/>
      <w:r w:rsidR="004174E1" w:rsidRPr="004174E1">
        <w:rPr>
          <w:rFonts w:ascii="Times New Roman" w:eastAsia="Calibri" w:hAnsi="Times New Roman" w:cs="Times New Roman"/>
          <w:sz w:val="24"/>
          <w:szCs w:val="24"/>
        </w:rPr>
        <w:t xml:space="preserve">, 39 NY2d 105, 107 </w:t>
      </w:r>
      <w:r w:rsidR="004174E1">
        <w:rPr>
          <w:rFonts w:ascii="Times New Roman" w:eastAsia="Calibri" w:hAnsi="Times New Roman" w:cs="Times New Roman"/>
          <w:sz w:val="24"/>
          <w:szCs w:val="24"/>
        </w:rPr>
        <w:t>(1976</w:t>
      </w:r>
      <w:bookmarkStart w:id="0" w:name="_Hlk196400556"/>
      <w:r w:rsidR="004174E1">
        <w:rPr>
          <w:rFonts w:ascii="Times New Roman" w:eastAsia="Calibri" w:hAnsi="Times New Roman" w:cs="Times New Roman"/>
          <w:sz w:val="24"/>
          <w:szCs w:val="24"/>
        </w:rPr>
        <w:t>)</w:t>
      </w:r>
      <w:r w:rsidR="00103A3C">
        <w:rPr>
          <w:rFonts w:ascii="Times New Roman" w:eastAsia="Calibri" w:hAnsi="Times New Roman" w:cs="Times New Roman"/>
          <w:sz w:val="24"/>
          <w:szCs w:val="24"/>
        </w:rPr>
        <w:t xml:space="preserve">; </w:t>
      </w:r>
      <w:r w:rsidR="00103A3C">
        <w:rPr>
          <w:rFonts w:ascii="Times New Roman" w:eastAsia="Calibri" w:hAnsi="Times New Roman" w:cs="Times New Roman"/>
          <w:sz w:val="24"/>
          <w:szCs w:val="24"/>
          <w:u w:val="single"/>
        </w:rPr>
        <w:t>see</w:t>
      </w:r>
      <w:r w:rsidR="00103A3C">
        <w:rPr>
          <w:rFonts w:ascii="Times New Roman" w:eastAsia="Calibri" w:hAnsi="Times New Roman" w:cs="Times New Roman"/>
          <w:sz w:val="24"/>
          <w:szCs w:val="24"/>
        </w:rPr>
        <w:t xml:space="preserve"> </w:t>
      </w:r>
      <w:r w:rsidR="00103A3C" w:rsidRPr="006A5D93">
        <w:rPr>
          <w:rFonts w:ascii="Times New Roman" w:eastAsia="Calibri" w:hAnsi="Times New Roman" w:cs="Times New Roman"/>
          <w:sz w:val="24"/>
          <w:szCs w:val="24"/>
          <w:u w:val="single"/>
        </w:rPr>
        <w:t>People v. Wright</w:t>
      </w:r>
      <w:r w:rsidR="00103A3C" w:rsidRPr="00103A3C">
        <w:rPr>
          <w:rFonts w:ascii="Times New Roman" w:eastAsia="Calibri" w:hAnsi="Times New Roman" w:cs="Times New Roman"/>
          <w:sz w:val="24"/>
          <w:szCs w:val="24"/>
        </w:rPr>
        <w:t>, 25 N.Y.3d 769, 780</w:t>
      </w:r>
      <w:r w:rsidR="00103A3C">
        <w:rPr>
          <w:rFonts w:ascii="Times New Roman" w:eastAsia="Calibri" w:hAnsi="Times New Roman" w:cs="Times New Roman"/>
          <w:sz w:val="24"/>
          <w:szCs w:val="24"/>
        </w:rPr>
        <w:t xml:space="preserve"> (2015) (same, quoting </w:t>
      </w:r>
      <w:proofErr w:type="spellStart"/>
      <w:r w:rsidR="00103A3C">
        <w:rPr>
          <w:rFonts w:ascii="Times New Roman" w:eastAsia="Calibri" w:hAnsi="Times New Roman" w:cs="Times New Roman"/>
          <w:sz w:val="24"/>
          <w:szCs w:val="24"/>
          <w:u w:val="single"/>
        </w:rPr>
        <w:t>Ashwal</w:t>
      </w:r>
      <w:proofErr w:type="spellEnd"/>
      <w:r w:rsidR="00103A3C">
        <w:rPr>
          <w:rFonts w:ascii="Times New Roman" w:eastAsia="Calibri" w:hAnsi="Times New Roman" w:cs="Times New Roman"/>
          <w:sz w:val="24"/>
          <w:szCs w:val="24"/>
        </w:rPr>
        <w:t>)</w:t>
      </w:r>
      <w:bookmarkEnd w:id="0"/>
      <w:r w:rsidR="004174E1">
        <w:rPr>
          <w:rFonts w:ascii="Times New Roman" w:eastAsia="Calibri" w:hAnsi="Times New Roman" w:cs="Times New Roman"/>
          <w:sz w:val="24"/>
          <w:szCs w:val="24"/>
        </w:rPr>
        <w:t xml:space="preserve">. </w:t>
      </w:r>
      <w:r w:rsidR="00103A3C">
        <w:rPr>
          <w:rFonts w:ascii="Times New Roman" w:eastAsia="Calibri" w:hAnsi="Times New Roman" w:cs="Times New Roman"/>
          <w:sz w:val="24"/>
          <w:szCs w:val="24"/>
        </w:rPr>
        <w:t>“</w:t>
      </w:r>
      <w:r w:rsidR="00103A3C" w:rsidRPr="00103A3C">
        <w:rPr>
          <w:rFonts w:ascii="Times New Roman" w:eastAsia="Calibri" w:hAnsi="Times New Roman" w:cs="Times New Roman"/>
          <w:sz w:val="24"/>
          <w:szCs w:val="24"/>
        </w:rPr>
        <w:t>Where counsel in summing up proceeds to dilate upon facts not in evidence or to press upon the jury considerations which the jury would have no right to regard, it is, we conceive, the plain duty of the court, upon objection made, to interpose, and a refusal of the court to interpose, where otherwise the right of the party would be prejudiced, would be legal error.</w:t>
      </w:r>
      <w:r w:rsidR="00103A3C">
        <w:rPr>
          <w:rFonts w:ascii="Times New Roman" w:eastAsia="Calibri" w:hAnsi="Times New Roman" w:cs="Times New Roman"/>
          <w:sz w:val="24"/>
          <w:szCs w:val="24"/>
        </w:rPr>
        <w:t xml:space="preserve">” </w:t>
      </w:r>
      <w:r w:rsidR="00103A3C" w:rsidRPr="006A5D93">
        <w:rPr>
          <w:rFonts w:ascii="Times New Roman" w:eastAsia="Calibri" w:hAnsi="Times New Roman" w:cs="Times New Roman"/>
          <w:sz w:val="24"/>
          <w:szCs w:val="24"/>
          <w:u w:val="single"/>
        </w:rPr>
        <w:t>Williams v. Brooklyn E. R. Co.</w:t>
      </w:r>
      <w:r w:rsidR="00103A3C" w:rsidRPr="00103A3C">
        <w:rPr>
          <w:rFonts w:ascii="Times New Roman" w:eastAsia="Calibri" w:hAnsi="Times New Roman" w:cs="Times New Roman"/>
          <w:sz w:val="24"/>
          <w:szCs w:val="24"/>
        </w:rPr>
        <w:t>, 126 N.Y. 96, 103</w:t>
      </w:r>
      <w:r w:rsidR="00103A3C">
        <w:rPr>
          <w:rFonts w:ascii="Times New Roman" w:eastAsia="Calibri" w:hAnsi="Times New Roman" w:cs="Times New Roman"/>
          <w:sz w:val="24"/>
          <w:szCs w:val="24"/>
        </w:rPr>
        <w:t xml:space="preserve"> (1891); </w:t>
      </w:r>
      <w:r w:rsidR="00103A3C">
        <w:rPr>
          <w:rFonts w:ascii="Times New Roman" w:eastAsia="Calibri" w:hAnsi="Times New Roman" w:cs="Times New Roman"/>
          <w:sz w:val="24"/>
          <w:szCs w:val="24"/>
          <w:u w:val="single"/>
        </w:rPr>
        <w:t>see</w:t>
      </w:r>
      <w:r w:rsidR="00103A3C">
        <w:rPr>
          <w:rFonts w:ascii="Times New Roman" w:eastAsia="Calibri" w:hAnsi="Times New Roman" w:cs="Times New Roman"/>
          <w:sz w:val="24"/>
          <w:szCs w:val="24"/>
        </w:rPr>
        <w:t xml:space="preserve"> </w:t>
      </w:r>
      <w:r w:rsidR="006D59AB" w:rsidRPr="00C62832">
        <w:rPr>
          <w:rFonts w:ascii="Times New Roman" w:eastAsia="Calibri" w:hAnsi="Times New Roman" w:cs="Times New Roman"/>
          <w:sz w:val="24"/>
          <w:szCs w:val="24"/>
          <w:u w:val="single"/>
        </w:rPr>
        <w:t>Wright</w:t>
      </w:r>
      <w:r w:rsidR="006D59AB" w:rsidRPr="00103A3C">
        <w:rPr>
          <w:rFonts w:ascii="Times New Roman" w:eastAsia="Calibri" w:hAnsi="Times New Roman" w:cs="Times New Roman"/>
          <w:sz w:val="24"/>
          <w:szCs w:val="24"/>
        </w:rPr>
        <w:t xml:space="preserve">, 25 N.Y.3d </w:t>
      </w:r>
      <w:r w:rsidR="006D59AB">
        <w:rPr>
          <w:rFonts w:ascii="Times New Roman" w:eastAsia="Calibri" w:hAnsi="Times New Roman" w:cs="Times New Roman"/>
          <w:sz w:val="24"/>
          <w:szCs w:val="24"/>
        </w:rPr>
        <w:t>at</w:t>
      </w:r>
      <w:r w:rsidR="006D59AB" w:rsidRPr="00103A3C">
        <w:rPr>
          <w:rFonts w:ascii="Times New Roman" w:eastAsia="Calibri" w:hAnsi="Times New Roman" w:cs="Times New Roman"/>
          <w:sz w:val="24"/>
          <w:szCs w:val="24"/>
        </w:rPr>
        <w:t xml:space="preserve"> 780</w:t>
      </w:r>
      <w:r w:rsidR="006D59AB">
        <w:rPr>
          <w:rFonts w:ascii="Times New Roman" w:eastAsia="Calibri" w:hAnsi="Times New Roman" w:cs="Times New Roman"/>
          <w:sz w:val="24"/>
          <w:szCs w:val="24"/>
        </w:rPr>
        <w:t xml:space="preserve"> (same, quoting </w:t>
      </w:r>
      <w:r w:rsidR="006D59AB">
        <w:rPr>
          <w:rFonts w:ascii="Times New Roman" w:eastAsia="Calibri" w:hAnsi="Times New Roman" w:cs="Times New Roman"/>
          <w:sz w:val="24"/>
          <w:szCs w:val="24"/>
          <w:u w:val="single"/>
        </w:rPr>
        <w:t>Williams</w:t>
      </w:r>
      <w:r w:rsidR="006D59AB">
        <w:rPr>
          <w:rFonts w:ascii="Times New Roman" w:eastAsia="Calibri" w:hAnsi="Times New Roman" w:cs="Times New Roman"/>
          <w:sz w:val="24"/>
          <w:szCs w:val="24"/>
        </w:rPr>
        <w:t>)</w:t>
      </w:r>
      <w:r w:rsidR="00CD727A">
        <w:rPr>
          <w:rFonts w:ascii="Times New Roman" w:eastAsia="Calibri" w:hAnsi="Times New Roman" w:cs="Times New Roman"/>
          <w:sz w:val="24"/>
          <w:szCs w:val="24"/>
        </w:rPr>
        <w:t xml:space="preserve">; </w:t>
      </w:r>
      <w:r w:rsidR="00CD727A" w:rsidRPr="00CD727A">
        <w:rPr>
          <w:rFonts w:ascii="Times New Roman" w:eastAsia="Calibri" w:hAnsi="Times New Roman" w:cs="Times New Roman"/>
          <w:sz w:val="24"/>
          <w:szCs w:val="24"/>
        </w:rPr>
        <w:t>Conti v. Mahoney, 137 A.D.2d 481, 482</w:t>
      </w:r>
      <w:r w:rsidR="00CD727A">
        <w:rPr>
          <w:rFonts w:ascii="Times New Roman" w:eastAsia="Calibri" w:hAnsi="Times New Roman" w:cs="Times New Roman"/>
          <w:sz w:val="24"/>
          <w:szCs w:val="24"/>
        </w:rPr>
        <w:t xml:space="preserve"> (2d Dept. 1988) (same, citing </w:t>
      </w:r>
      <w:r w:rsidR="00CD727A">
        <w:rPr>
          <w:rFonts w:ascii="Times New Roman" w:eastAsia="Calibri" w:hAnsi="Times New Roman" w:cs="Times New Roman"/>
          <w:sz w:val="24"/>
          <w:szCs w:val="24"/>
          <w:u w:val="single"/>
        </w:rPr>
        <w:t>Williams</w:t>
      </w:r>
      <w:r w:rsidR="00CD727A">
        <w:rPr>
          <w:rFonts w:ascii="Times New Roman" w:eastAsia="Calibri" w:hAnsi="Times New Roman" w:cs="Times New Roman"/>
          <w:sz w:val="24"/>
          <w:szCs w:val="24"/>
        </w:rPr>
        <w:t xml:space="preserve">); </w:t>
      </w:r>
      <w:r w:rsidR="00CD727A" w:rsidRPr="006A5D93">
        <w:rPr>
          <w:rFonts w:ascii="Times New Roman" w:eastAsia="Calibri" w:hAnsi="Times New Roman" w:cs="Times New Roman"/>
          <w:sz w:val="24"/>
          <w:szCs w:val="24"/>
          <w:u w:val="single"/>
        </w:rPr>
        <w:t>People v. Marcelin</w:t>
      </w:r>
      <w:r w:rsidR="00CD727A" w:rsidRPr="00CD727A">
        <w:rPr>
          <w:rFonts w:ascii="Times New Roman" w:eastAsia="Calibri" w:hAnsi="Times New Roman" w:cs="Times New Roman"/>
          <w:sz w:val="24"/>
          <w:szCs w:val="24"/>
        </w:rPr>
        <w:t>, 23 A.D.2d 368, 369</w:t>
      </w:r>
      <w:r w:rsidR="00CD727A">
        <w:rPr>
          <w:rFonts w:ascii="Times New Roman" w:eastAsia="Calibri" w:hAnsi="Times New Roman" w:cs="Times New Roman"/>
          <w:sz w:val="24"/>
          <w:szCs w:val="24"/>
        </w:rPr>
        <w:t xml:space="preserve"> (1st Dept. 1965) (same, quoting </w:t>
      </w:r>
      <w:r w:rsidR="00CD727A">
        <w:rPr>
          <w:rFonts w:ascii="Times New Roman" w:eastAsia="Calibri" w:hAnsi="Times New Roman" w:cs="Times New Roman"/>
          <w:sz w:val="24"/>
          <w:szCs w:val="24"/>
          <w:u w:val="single"/>
        </w:rPr>
        <w:t>Williams</w:t>
      </w:r>
      <w:r w:rsidR="00CD727A">
        <w:rPr>
          <w:rFonts w:ascii="Times New Roman" w:eastAsia="Calibri" w:hAnsi="Times New Roman" w:cs="Times New Roman"/>
          <w:sz w:val="24"/>
          <w:szCs w:val="24"/>
        </w:rPr>
        <w:t>)</w:t>
      </w:r>
      <w:r w:rsidR="006D59AB">
        <w:rPr>
          <w:rFonts w:ascii="Times New Roman" w:eastAsia="Calibri" w:hAnsi="Times New Roman" w:cs="Times New Roman"/>
          <w:sz w:val="24"/>
          <w:szCs w:val="24"/>
        </w:rPr>
        <w:t>.</w:t>
      </w:r>
    </w:p>
    <w:p w14:paraId="0CF96963" w14:textId="0AA3A482" w:rsidR="00EB0E02" w:rsidRDefault="00AA567F" w:rsidP="005B2C40">
      <w:pPr>
        <w:spacing w:after="0" w:line="480" w:lineRule="auto"/>
        <w:ind w:firstLine="720"/>
        <w:jc w:val="both"/>
        <w:rPr>
          <w:rFonts w:ascii="Times New Roman" w:eastAsia="Calibri" w:hAnsi="Times New Roman" w:cs="Times New Roman"/>
          <w:bCs/>
          <w:iCs/>
          <w:sz w:val="24"/>
          <w:szCs w:val="24"/>
        </w:rPr>
      </w:pPr>
      <w:r w:rsidRPr="005C7111">
        <w:rPr>
          <w:rFonts w:ascii="Times New Roman" w:eastAsia="Calibri" w:hAnsi="Times New Roman" w:cs="Times New Roman"/>
          <w:sz w:val="24"/>
          <w:szCs w:val="24"/>
        </w:rPr>
        <w:t xml:space="preserve">It is well-settled that “big corporation” or anti-corporate animus attacks are improper and require preclusion. </w:t>
      </w:r>
      <w:r w:rsidRPr="005C7111">
        <w:rPr>
          <w:rFonts w:ascii="Times New Roman" w:eastAsia="Calibri" w:hAnsi="Times New Roman" w:cs="Times New Roman"/>
          <w:sz w:val="24"/>
          <w:szCs w:val="24"/>
          <w:u w:val="single"/>
        </w:rPr>
        <w:t>See</w:t>
      </w:r>
      <w:r w:rsidRPr="005C7111">
        <w:rPr>
          <w:rFonts w:ascii="Times New Roman" w:eastAsia="Calibri" w:hAnsi="Times New Roman" w:cs="Times New Roman"/>
          <w:sz w:val="24"/>
          <w:szCs w:val="24"/>
        </w:rPr>
        <w:t xml:space="preserve"> </w:t>
      </w:r>
      <w:r w:rsidRPr="005C7111">
        <w:rPr>
          <w:rFonts w:ascii="Times New Roman" w:eastAsia="Calibri" w:hAnsi="Times New Roman" w:cs="Times New Roman"/>
          <w:sz w:val="24"/>
          <w:szCs w:val="24"/>
          <w:u w:val="single"/>
        </w:rPr>
        <w:t>Johnson v. Lazarowitz</w:t>
      </w:r>
      <w:r w:rsidRPr="005C7111">
        <w:rPr>
          <w:rFonts w:ascii="Times New Roman" w:eastAsia="Calibri" w:hAnsi="Times New Roman" w:cs="Times New Roman"/>
          <w:sz w:val="24"/>
          <w:szCs w:val="24"/>
        </w:rPr>
        <w:t xml:space="preserve">, 4 A.D.3d 334, 336 (2d </w:t>
      </w:r>
      <w:proofErr w:type="spellStart"/>
      <w:r w:rsidRPr="005C7111">
        <w:rPr>
          <w:rFonts w:ascii="Times New Roman" w:eastAsia="Calibri" w:hAnsi="Times New Roman" w:cs="Times New Roman"/>
          <w:sz w:val="24"/>
          <w:szCs w:val="24"/>
        </w:rPr>
        <w:t>Dep’t</w:t>
      </w:r>
      <w:proofErr w:type="spellEnd"/>
      <w:r w:rsidRPr="005C7111">
        <w:rPr>
          <w:rFonts w:ascii="Times New Roman" w:eastAsia="Calibri" w:hAnsi="Times New Roman" w:cs="Times New Roman"/>
          <w:sz w:val="24"/>
          <w:szCs w:val="24"/>
        </w:rPr>
        <w:t xml:space="preserve"> 2004) (“A new trial on the issue of damages is also warranted because the attorney for the plaintiff improperly referred to the existence of the defendants’ liability insurance coverage. In light of the deliberate nature of counsel’s conduct in this respect, and in light of the probability of prejudice, a new trial on the issue of damages is warranted on this ground as well.”); </w:t>
      </w:r>
      <w:proofErr w:type="spellStart"/>
      <w:r w:rsidRPr="005C7111">
        <w:rPr>
          <w:rFonts w:ascii="Times New Roman" w:eastAsia="Calibri" w:hAnsi="Times New Roman" w:cs="Times New Roman"/>
          <w:sz w:val="24"/>
          <w:szCs w:val="24"/>
          <w:u w:val="single"/>
        </w:rPr>
        <w:t>Butigian</w:t>
      </w:r>
      <w:proofErr w:type="spellEnd"/>
      <w:r w:rsidRPr="005C7111">
        <w:rPr>
          <w:rFonts w:ascii="Times New Roman" w:eastAsia="Calibri" w:hAnsi="Times New Roman" w:cs="Times New Roman"/>
          <w:sz w:val="24"/>
          <w:szCs w:val="24"/>
          <w:u w:val="single"/>
        </w:rPr>
        <w:t xml:space="preserve"> v. Port Auth</w:t>
      </w:r>
      <w:r w:rsidRPr="005C7111">
        <w:rPr>
          <w:rFonts w:ascii="Times New Roman" w:eastAsia="Calibri" w:hAnsi="Times New Roman" w:cs="Times New Roman"/>
          <w:sz w:val="24"/>
          <w:szCs w:val="24"/>
        </w:rPr>
        <w:t xml:space="preserve">., 293 A.D.2d 251, 252 (1st </w:t>
      </w:r>
      <w:proofErr w:type="spellStart"/>
      <w:r w:rsidRPr="005C7111">
        <w:rPr>
          <w:rFonts w:ascii="Times New Roman" w:eastAsia="Calibri" w:hAnsi="Times New Roman" w:cs="Times New Roman"/>
          <w:sz w:val="24"/>
          <w:szCs w:val="24"/>
        </w:rPr>
        <w:t>Dep’t</w:t>
      </w:r>
      <w:proofErr w:type="spellEnd"/>
      <w:r w:rsidRPr="005C7111">
        <w:rPr>
          <w:rFonts w:ascii="Times New Roman" w:eastAsia="Calibri" w:hAnsi="Times New Roman" w:cs="Times New Roman"/>
          <w:sz w:val="24"/>
          <w:szCs w:val="24"/>
        </w:rPr>
        <w:t xml:space="preserve"> 2002) (plaintiff’s counsel’s comments designed to “inflame anti-corporate animus, </w:t>
      </w:r>
      <w:r w:rsidRPr="005C7111">
        <w:rPr>
          <w:rFonts w:ascii="Times New Roman" w:eastAsia="Calibri" w:hAnsi="Times New Roman" w:cs="Times New Roman"/>
          <w:sz w:val="24"/>
          <w:szCs w:val="24"/>
        </w:rPr>
        <w:lastRenderedPageBreak/>
        <w:t xml:space="preserve">and to urge a larger than justified award” warranted new trial); </w:t>
      </w:r>
      <w:r w:rsidRPr="005C7111">
        <w:rPr>
          <w:rFonts w:ascii="Times New Roman" w:eastAsia="Calibri" w:hAnsi="Times New Roman" w:cs="Times New Roman"/>
          <w:bCs/>
          <w:iCs/>
          <w:sz w:val="24"/>
          <w:szCs w:val="24"/>
          <w:u w:val="single"/>
        </w:rPr>
        <w:t>Smolinski v. Smolinski</w:t>
      </w:r>
      <w:r w:rsidRPr="005C7111">
        <w:rPr>
          <w:rFonts w:ascii="Times New Roman" w:eastAsia="Calibri" w:hAnsi="Times New Roman" w:cs="Times New Roman"/>
          <w:bCs/>
          <w:iCs/>
          <w:sz w:val="24"/>
          <w:szCs w:val="24"/>
        </w:rPr>
        <w:t xml:space="preserve">, 78 A.D.3d 1642, 1644 (4th </w:t>
      </w:r>
      <w:proofErr w:type="spellStart"/>
      <w:r w:rsidRPr="005C7111">
        <w:rPr>
          <w:rFonts w:ascii="Times New Roman" w:eastAsia="Calibri" w:hAnsi="Times New Roman" w:cs="Times New Roman"/>
          <w:bCs/>
          <w:iCs/>
          <w:sz w:val="24"/>
          <w:szCs w:val="24"/>
        </w:rPr>
        <w:t>Dep’t</w:t>
      </w:r>
      <w:proofErr w:type="spellEnd"/>
      <w:r w:rsidRPr="005C7111">
        <w:rPr>
          <w:rFonts w:ascii="Times New Roman" w:eastAsia="Calibri" w:hAnsi="Times New Roman" w:cs="Times New Roman"/>
          <w:bCs/>
          <w:iCs/>
          <w:sz w:val="24"/>
          <w:szCs w:val="24"/>
        </w:rPr>
        <w:t xml:space="preserve"> 2010) (new trial required based on plaintiff’s counsel’s “numerous references to the resources that Ford Credit had as a large corporation”)</w:t>
      </w:r>
      <w:r w:rsidR="005B2C40">
        <w:rPr>
          <w:rFonts w:ascii="Times New Roman" w:eastAsia="Calibri" w:hAnsi="Times New Roman" w:cs="Times New Roman"/>
          <w:bCs/>
          <w:iCs/>
          <w:sz w:val="24"/>
          <w:szCs w:val="24"/>
        </w:rPr>
        <w:t xml:space="preserve">; </w:t>
      </w:r>
      <w:r w:rsidR="005B2C40">
        <w:rPr>
          <w:rFonts w:ascii="Times New Roman" w:eastAsia="Calibri" w:hAnsi="Times New Roman" w:cs="Times New Roman"/>
          <w:bCs/>
          <w:iCs/>
          <w:sz w:val="24"/>
          <w:szCs w:val="24"/>
          <w:u w:val="single"/>
        </w:rPr>
        <w:t>see</w:t>
      </w:r>
      <w:r w:rsidR="005B2C40">
        <w:rPr>
          <w:rFonts w:ascii="Times New Roman" w:eastAsia="Calibri" w:hAnsi="Times New Roman" w:cs="Times New Roman"/>
          <w:bCs/>
          <w:iCs/>
          <w:sz w:val="24"/>
          <w:szCs w:val="24"/>
        </w:rPr>
        <w:t xml:space="preserve"> </w:t>
      </w:r>
      <w:r w:rsidR="005B2C40">
        <w:rPr>
          <w:rFonts w:ascii="Times New Roman" w:eastAsia="Calibri" w:hAnsi="Times New Roman" w:cs="Times New Roman"/>
          <w:bCs/>
          <w:iCs/>
          <w:sz w:val="24"/>
          <w:szCs w:val="24"/>
          <w:u w:val="single"/>
        </w:rPr>
        <w:t>also</w:t>
      </w:r>
      <w:r w:rsidR="005B2C40">
        <w:rPr>
          <w:rFonts w:ascii="Times New Roman" w:eastAsia="Calibri" w:hAnsi="Times New Roman" w:cs="Times New Roman"/>
          <w:bCs/>
          <w:iCs/>
          <w:sz w:val="24"/>
          <w:szCs w:val="24"/>
        </w:rPr>
        <w:t xml:space="preserve"> </w:t>
      </w:r>
      <w:proofErr w:type="spellStart"/>
      <w:r w:rsidR="005B2C40" w:rsidRPr="005B2C40">
        <w:rPr>
          <w:rFonts w:ascii="Times New Roman" w:eastAsia="Calibri" w:hAnsi="Times New Roman" w:cs="Times New Roman"/>
          <w:bCs/>
          <w:iCs/>
          <w:sz w:val="24"/>
          <w:szCs w:val="24"/>
        </w:rPr>
        <w:t>Tehozol</w:t>
      </w:r>
      <w:proofErr w:type="spellEnd"/>
      <w:r w:rsidR="005B2C40" w:rsidRPr="005B2C40">
        <w:rPr>
          <w:rFonts w:ascii="Times New Roman" w:eastAsia="Calibri" w:hAnsi="Times New Roman" w:cs="Times New Roman"/>
          <w:bCs/>
          <w:iCs/>
          <w:sz w:val="24"/>
          <w:szCs w:val="24"/>
        </w:rPr>
        <w:t xml:space="preserve"> v. Anand Realty Corp., 41 A.D.3d 151, 152</w:t>
      </w:r>
      <w:r w:rsidR="005B2C40">
        <w:rPr>
          <w:rFonts w:ascii="Times New Roman" w:eastAsia="Calibri" w:hAnsi="Times New Roman" w:cs="Times New Roman"/>
          <w:bCs/>
          <w:iCs/>
          <w:sz w:val="24"/>
          <w:szCs w:val="24"/>
        </w:rPr>
        <w:t xml:space="preserve"> (1st </w:t>
      </w:r>
      <w:proofErr w:type="spellStart"/>
      <w:r w:rsidR="005B2C40">
        <w:rPr>
          <w:rFonts w:ascii="Times New Roman" w:eastAsia="Calibri" w:hAnsi="Times New Roman" w:cs="Times New Roman"/>
          <w:bCs/>
          <w:iCs/>
          <w:sz w:val="24"/>
          <w:szCs w:val="24"/>
        </w:rPr>
        <w:t>Dep</w:t>
      </w:r>
      <w:r w:rsidR="00B8041B">
        <w:rPr>
          <w:rFonts w:ascii="Times New Roman" w:eastAsia="Calibri" w:hAnsi="Times New Roman" w:cs="Times New Roman"/>
          <w:bCs/>
          <w:iCs/>
          <w:sz w:val="24"/>
          <w:szCs w:val="24"/>
        </w:rPr>
        <w:t>’t</w:t>
      </w:r>
      <w:proofErr w:type="spellEnd"/>
      <w:r w:rsidR="005B2C40">
        <w:rPr>
          <w:rFonts w:ascii="Times New Roman" w:eastAsia="Calibri" w:hAnsi="Times New Roman" w:cs="Times New Roman"/>
          <w:bCs/>
          <w:iCs/>
          <w:sz w:val="24"/>
          <w:szCs w:val="24"/>
        </w:rPr>
        <w:t xml:space="preserve"> 2007) (“class bias”)</w:t>
      </w:r>
      <w:r w:rsidRPr="005C7111">
        <w:rPr>
          <w:rFonts w:ascii="Times New Roman" w:eastAsia="Calibri" w:hAnsi="Times New Roman" w:cs="Times New Roman"/>
          <w:bCs/>
          <w:iCs/>
          <w:sz w:val="24"/>
          <w:szCs w:val="24"/>
        </w:rPr>
        <w:t>.</w:t>
      </w:r>
    </w:p>
    <w:p w14:paraId="53776CD0" w14:textId="6D749C7C" w:rsidR="00C1076B" w:rsidRDefault="00A56B55" w:rsidP="00A56B55">
      <w:pPr>
        <w:spacing w:after="0" w:line="480" w:lineRule="auto"/>
        <w:ind w:firstLine="720"/>
        <w:jc w:val="both"/>
        <w:rPr>
          <w:rFonts w:ascii="Times New Roman" w:eastAsia="Calibri" w:hAnsi="Times New Roman" w:cs="Times New Roman"/>
          <w:bCs/>
          <w:iCs/>
          <w:sz w:val="24"/>
          <w:szCs w:val="24"/>
        </w:rPr>
      </w:pPr>
      <w:r w:rsidRPr="005C7111">
        <w:rPr>
          <w:rFonts w:ascii="Times New Roman" w:eastAsia="Calibri" w:hAnsi="Times New Roman" w:cs="Times New Roman"/>
          <w:bCs/>
          <w:iCs/>
          <w:sz w:val="24"/>
          <w:szCs w:val="24"/>
        </w:rPr>
        <w:t>These attacks</w:t>
      </w:r>
      <w:r w:rsidR="00502B49">
        <w:rPr>
          <w:rFonts w:ascii="Times New Roman" w:eastAsia="Calibri" w:hAnsi="Times New Roman" w:cs="Times New Roman"/>
          <w:bCs/>
          <w:iCs/>
          <w:sz w:val="24"/>
          <w:szCs w:val="24"/>
        </w:rPr>
        <w:t xml:space="preserve"> violate the </w:t>
      </w:r>
      <w:r w:rsidRPr="005C7111">
        <w:rPr>
          <w:rFonts w:ascii="Times New Roman" w:eastAsia="Calibri" w:hAnsi="Times New Roman" w:cs="Times New Roman"/>
          <w:bCs/>
          <w:iCs/>
          <w:sz w:val="24"/>
          <w:szCs w:val="24"/>
        </w:rPr>
        <w:t>fundamental rule that a party’s wealth or insurance are</w:t>
      </w:r>
      <w:r w:rsidR="00F5752A">
        <w:rPr>
          <w:rFonts w:ascii="Times New Roman" w:eastAsia="Calibri" w:hAnsi="Times New Roman" w:cs="Times New Roman"/>
          <w:bCs/>
          <w:iCs/>
          <w:sz w:val="24"/>
          <w:szCs w:val="24"/>
        </w:rPr>
        <w:t xml:space="preserve"> irrelevant and unfairly prejudicial and, consequently, are</w:t>
      </w:r>
      <w:r w:rsidRPr="005C7111">
        <w:rPr>
          <w:rFonts w:ascii="Times New Roman" w:eastAsia="Calibri" w:hAnsi="Times New Roman" w:cs="Times New Roman"/>
          <w:bCs/>
          <w:iCs/>
          <w:sz w:val="24"/>
          <w:szCs w:val="24"/>
        </w:rPr>
        <w:t xml:space="preserve"> </w:t>
      </w:r>
      <w:r w:rsidR="00F5752A">
        <w:rPr>
          <w:rFonts w:ascii="Times New Roman" w:eastAsia="Calibri" w:hAnsi="Times New Roman" w:cs="Times New Roman"/>
          <w:bCs/>
          <w:iCs/>
          <w:sz w:val="24"/>
          <w:szCs w:val="24"/>
        </w:rPr>
        <w:t>strictly inadmissible at trial</w:t>
      </w:r>
      <w:r w:rsidRPr="005C7111">
        <w:rPr>
          <w:rFonts w:ascii="Times New Roman" w:eastAsia="Calibri" w:hAnsi="Times New Roman" w:cs="Times New Roman"/>
          <w:bCs/>
          <w:iCs/>
          <w:sz w:val="24"/>
          <w:szCs w:val="24"/>
        </w:rPr>
        <w:t xml:space="preserve">. </w:t>
      </w:r>
      <w:r w:rsidRPr="005C7111">
        <w:rPr>
          <w:rFonts w:ascii="Times New Roman" w:eastAsia="Calibri" w:hAnsi="Times New Roman" w:cs="Times New Roman"/>
          <w:bCs/>
          <w:iCs/>
          <w:sz w:val="24"/>
          <w:szCs w:val="24"/>
          <w:u w:val="single"/>
        </w:rPr>
        <w:t>See</w:t>
      </w:r>
      <w:r w:rsidRPr="005C7111">
        <w:rPr>
          <w:rFonts w:ascii="Times New Roman" w:eastAsia="Calibri" w:hAnsi="Times New Roman" w:cs="Times New Roman"/>
          <w:bCs/>
          <w:iCs/>
          <w:sz w:val="24"/>
          <w:szCs w:val="24"/>
        </w:rPr>
        <w:t xml:space="preserve"> </w:t>
      </w:r>
      <w:r w:rsidRPr="005C7111">
        <w:rPr>
          <w:rFonts w:ascii="Times New Roman" w:eastAsia="Calibri" w:hAnsi="Times New Roman" w:cs="Times New Roman"/>
          <w:bCs/>
          <w:iCs/>
          <w:sz w:val="24"/>
          <w:szCs w:val="24"/>
          <w:u w:val="single"/>
        </w:rPr>
        <w:t>also</w:t>
      </w:r>
      <w:r w:rsidRPr="005C7111">
        <w:rPr>
          <w:rFonts w:ascii="Times New Roman" w:eastAsia="Calibri" w:hAnsi="Times New Roman" w:cs="Times New Roman"/>
          <w:bCs/>
          <w:iCs/>
          <w:sz w:val="24"/>
          <w:szCs w:val="24"/>
        </w:rPr>
        <w:t xml:space="preserve"> </w:t>
      </w:r>
      <w:r w:rsidRPr="005C7111">
        <w:rPr>
          <w:rFonts w:ascii="Times New Roman" w:eastAsia="Calibri" w:hAnsi="Times New Roman" w:cs="Times New Roman"/>
          <w:bCs/>
          <w:iCs/>
          <w:sz w:val="24"/>
          <w:szCs w:val="24"/>
          <w:u w:val="single"/>
        </w:rPr>
        <w:t>Laidlaw v. Sage</w:t>
      </w:r>
      <w:r w:rsidRPr="005C7111">
        <w:rPr>
          <w:rFonts w:ascii="Times New Roman" w:eastAsia="Calibri" w:hAnsi="Times New Roman" w:cs="Times New Roman"/>
          <w:bCs/>
          <w:iCs/>
          <w:sz w:val="24"/>
          <w:szCs w:val="24"/>
        </w:rPr>
        <w:t xml:space="preserve">, 158 N.Y. 73, 103 (1899) (“It has ever been the theory of our government and a cardinal principle of our jurisprudence that the rich and poor stand alike in courts of justice, and that neither the wealth of the one nor the poverty of the other shall be permitted to affect the administration of the law. Evidence of the wealth of a party is never admissible, directly or otherwise, unless in those exceptional cases where position or wealth is necessarily involved in determining the damages sustained.”); </w:t>
      </w:r>
      <w:r w:rsidRPr="005C7111">
        <w:rPr>
          <w:rFonts w:ascii="Times New Roman" w:eastAsia="Calibri" w:hAnsi="Times New Roman" w:cs="Times New Roman"/>
          <w:bCs/>
          <w:iCs/>
          <w:sz w:val="24"/>
          <w:szCs w:val="24"/>
          <w:u w:val="single"/>
        </w:rPr>
        <w:t>Reed v. City of New York</w:t>
      </w:r>
      <w:r w:rsidRPr="005C7111">
        <w:rPr>
          <w:rFonts w:ascii="Times New Roman" w:eastAsia="Calibri" w:hAnsi="Times New Roman" w:cs="Times New Roman"/>
          <w:bCs/>
          <w:iCs/>
          <w:sz w:val="24"/>
          <w:szCs w:val="24"/>
        </w:rPr>
        <w:t xml:space="preserve">, 304 A.D.2d 1 (1st </w:t>
      </w:r>
      <w:proofErr w:type="spellStart"/>
      <w:r w:rsidRPr="005C7111">
        <w:rPr>
          <w:rFonts w:ascii="Times New Roman" w:eastAsia="Calibri" w:hAnsi="Times New Roman" w:cs="Times New Roman"/>
          <w:bCs/>
          <w:iCs/>
          <w:sz w:val="24"/>
          <w:szCs w:val="24"/>
        </w:rPr>
        <w:t>Dep’t</w:t>
      </w:r>
      <w:proofErr w:type="spellEnd"/>
      <w:r w:rsidRPr="005C7111">
        <w:rPr>
          <w:rFonts w:ascii="Times New Roman" w:eastAsia="Calibri" w:hAnsi="Times New Roman" w:cs="Times New Roman"/>
          <w:bCs/>
          <w:iCs/>
          <w:sz w:val="24"/>
          <w:szCs w:val="24"/>
        </w:rPr>
        <w:t xml:space="preserve"> 2003).</w:t>
      </w:r>
      <w:r w:rsidRPr="005C7111">
        <w:rPr>
          <w:rStyle w:val="FootnoteReference"/>
          <w:rFonts w:ascii="Times New Roman" w:eastAsia="Calibri" w:hAnsi="Times New Roman" w:cs="Times New Roman"/>
          <w:bCs/>
          <w:iCs/>
          <w:sz w:val="24"/>
          <w:szCs w:val="24"/>
        </w:rPr>
        <w:footnoteReference w:id="1"/>
      </w:r>
    </w:p>
    <w:p w14:paraId="1377E476" w14:textId="4F0053D1" w:rsidR="00A56B55" w:rsidRPr="00BE6CA9" w:rsidRDefault="00E67D35" w:rsidP="00BE6CA9">
      <w:pPr>
        <w:spacing w:after="0" w:line="480" w:lineRule="auto"/>
        <w:ind w:firstLine="720"/>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Accordingly, </w:t>
      </w:r>
      <w:r w:rsidR="00E144DC">
        <w:rPr>
          <w:rFonts w:ascii="Times New Roman" w:eastAsia="Arial" w:hAnsi="Times New Roman" w:cs="Times New Roman"/>
          <w:color w:val="000000"/>
          <w:sz w:val="24"/>
          <w:szCs w:val="24"/>
        </w:rPr>
        <w:t xml:space="preserve">because </w:t>
      </w:r>
      <w:r>
        <w:rPr>
          <w:rFonts w:ascii="Times New Roman" w:eastAsia="Arial" w:hAnsi="Times New Roman" w:cs="Times New Roman"/>
          <w:color w:val="000000"/>
          <w:sz w:val="24"/>
          <w:szCs w:val="24"/>
        </w:rPr>
        <w:t>r</w:t>
      </w:r>
      <w:r w:rsidR="00A56B55" w:rsidRPr="005C7111">
        <w:rPr>
          <w:rFonts w:ascii="Times New Roman" w:eastAsia="Arial" w:hAnsi="Times New Roman" w:cs="Times New Roman"/>
          <w:color w:val="000000"/>
          <w:sz w:val="24"/>
          <w:szCs w:val="24"/>
        </w:rPr>
        <w:t>emarks pertaining to defendants’ status as corporate entities, their profits, revenue, the number of employees</w:t>
      </w:r>
      <w:r w:rsidR="00284B0C">
        <w:rPr>
          <w:rFonts w:ascii="Times New Roman" w:eastAsia="Arial" w:hAnsi="Times New Roman" w:cs="Times New Roman"/>
          <w:color w:val="000000"/>
          <w:sz w:val="24"/>
          <w:szCs w:val="24"/>
        </w:rPr>
        <w:t>,</w:t>
      </w:r>
      <w:r w:rsidR="00A56B55" w:rsidRPr="005C7111">
        <w:rPr>
          <w:rFonts w:ascii="Times New Roman" w:eastAsia="Arial" w:hAnsi="Times New Roman" w:cs="Times New Roman"/>
          <w:color w:val="000000"/>
          <w:sz w:val="24"/>
          <w:szCs w:val="24"/>
        </w:rPr>
        <w:t xml:space="preserve"> or their insurance </w:t>
      </w:r>
      <w:r w:rsidR="00284B0C">
        <w:rPr>
          <w:rFonts w:ascii="Times New Roman" w:eastAsia="Arial" w:hAnsi="Times New Roman" w:cs="Times New Roman"/>
          <w:color w:val="000000"/>
          <w:sz w:val="24"/>
          <w:szCs w:val="24"/>
        </w:rPr>
        <w:t>are both irrelevant and inordinately likely to inflame the jury</w:t>
      </w:r>
      <w:r w:rsidR="0015579E">
        <w:rPr>
          <w:rFonts w:ascii="Times New Roman" w:eastAsia="Arial" w:hAnsi="Times New Roman" w:cs="Times New Roman"/>
          <w:color w:val="000000"/>
          <w:sz w:val="24"/>
          <w:szCs w:val="24"/>
        </w:rPr>
        <w:t>, their mention</w:t>
      </w:r>
      <w:r w:rsidR="00284B0C">
        <w:rPr>
          <w:rFonts w:ascii="Times New Roman" w:eastAsia="Arial" w:hAnsi="Times New Roman" w:cs="Times New Roman"/>
          <w:color w:val="000000"/>
          <w:sz w:val="24"/>
          <w:szCs w:val="24"/>
        </w:rPr>
        <w:t xml:space="preserve"> </w:t>
      </w:r>
      <w:r w:rsidR="00A56B55" w:rsidRPr="005C7111">
        <w:rPr>
          <w:rFonts w:ascii="Times New Roman" w:eastAsia="Arial" w:hAnsi="Times New Roman" w:cs="Times New Roman"/>
          <w:color w:val="000000"/>
          <w:sz w:val="24"/>
          <w:szCs w:val="24"/>
        </w:rPr>
        <w:t>should be precluded</w:t>
      </w:r>
      <w:r w:rsidR="00A56B55" w:rsidRPr="005C7111">
        <w:rPr>
          <w:rFonts w:ascii="Times New Roman" w:eastAsia="Calibri" w:hAnsi="Times New Roman" w:cs="Times New Roman"/>
          <w:bCs/>
          <w:iCs/>
          <w:sz w:val="24"/>
          <w:szCs w:val="24"/>
        </w:rPr>
        <w:t>. The same goes for unfounded accusations that defendants placed “profits over safety” or “cut corners to save a buck.”</w:t>
      </w:r>
      <w:r w:rsidR="00C1076B">
        <w:rPr>
          <w:rFonts w:ascii="Times New Roman" w:eastAsia="Calibri" w:hAnsi="Times New Roman" w:cs="Times New Roman"/>
          <w:bCs/>
          <w:iCs/>
          <w:sz w:val="24"/>
          <w:szCs w:val="24"/>
        </w:rPr>
        <w:t xml:space="preserve"> </w:t>
      </w:r>
      <w:r w:rsidR="00C1076B">
        <w:rPr>
          <w:rFonts w:ascii="Times New Roman" w:eastAsia="Calibri" w:hAnsi="Times New Roman" w:cs="Times New Roman"/>
          <w:bCs/>
          <w:iCs/>
          <w:sz w:val="24"/>
          <w:szCs w:val="24"/>
          <w:u w:val="single"/>
        </w:rPr>
        <w:t>See</w:t>
      </w:r>
      <w:r w:rsidR="00C1076B">
        <w:rPr>
          <w:rFonts w:ascii="Times New Roman" w:eastAsia="Calibri" w:hAnsi="Times New Roman" w:cs="Times New Roman"/>
          <w:bCs/>
          <w:iCs/>
          <w:sz w:val="24"/>
          <w:szCs w:val="24"/>
        </w:rPr>
        <w:t xml:space="preserve">, </w:t>
      </w:r>
      <w:r w:rsidR="00C1076B">
        <w:rPr>
          <w:rFonts w:ascii="Times New Roman" w:eastAsia="Calibri" w:hAnsi="Times New Roman" w:cs="Times New Roman"/>
          <w:bCs/>
          <w:iCs/>
          <w:sz w:val="24"/>
          <w:szCs w:val="24"/>
          <w:u w:val="single"/>
        </w:rPr>
        <w:t>e.g.</w:t>
      </w:r>
      <w:r w:rsidR="00C1076B">
        <w:rPr>
          <w:rFonts w:ascii="Times New Roman" w:eastAsia="Calibri" w:hAnsi="Times New Roman" w:cs="Times New Roman"/>
          <w:bCs/>
          <w:iCs/>
          <w:sz w:val="24"/>
          <w:szCs w:val="24"/>
        </w:rPr>
        <w:t xml:space="preserve">, </w:t>
      </w:r>
      <w:proofErr w:type="spellStart"/>
      <w:r w:rsidR="00C1076B" w:rsidRPr="006A5D93">
        <w:rPr>
          <w:rFonts w:ascii="Times New Roman" w:eastAsia="Calibri" w:hAnsi="Times New Roman" w:cs="Times New Roman"/>
          <w:bCs/>
          <w:iCs/>
          <w:sz w:val="24"/>
          <w:szCs w:val="24"/>
          <w:u w:val="single"/>
        </w:rPr>
        <w:t>Butigian</w:t>
      </w:r>
      <w:proofErr w:type="spellEnd"/>
      <w:r w:rsidR="00C1076B" w:rsidRPr="00C1076B">
        <w:rPr>
          <w:rFonts w:ascii="Times New Roman" w:eastAsia="Calibri" w:hAnsi="Times New Roman" w:cs="Times New Roman"/>
          <w:bCs/>
          <w:iCs/>
          <w:sz w:val="24"/>
          <w:szCs w:val="24"/>
        </w:rPr>
        <w:t>, 293 A.D.2d 251, 252</w:t>
      </w:r>
      <w:r w:rsidR="00C1076B">
        <w:rPr>
          <w:rFonts w:ascii="Times New Roman" w:eastAsia="Calibri" w:hAnsi="Times New Roman" w:cs="Times New Roman"/>
          <w:bCs/>
          <w:iCs/>
          <w:sz w:val="24"/>
          <w:szCs w:val="24"/>
        </w:rPr>
        <w:t xml:space="preserve"> (improper summation comments including “</w:t>
      </w:r>
      <w:r w:rsidR="00C1076B" w:rsidRPr="00C1076B">
        <w:rPr>
          <w:rFonts w:ascii="Times New Roman" w:eastAsia="Calibri" w:hAnsi="Times New Roman" w:cs="Times New Roman"/>
          <w:bCs/>
          <w:iCs/>
          <w:sz w:val="24"/>
          <w:szCs w:val="24"/>
        </w:rPr>
        <w:t>It</w:t>
      </w:r>
      <w:r w:rsidR="00C1076B">
        <w:rPr>
          <w:rFonts w:ascii="Times New Roman" w:eastAsia="Calibri" w:hAnsi="Times New Roman" w:cs="Times New Roman"/>
          <w:bCs/>
          <w:iCs/>
          <w:sz w:val="24"/>
          <w:szCs w:val="24"/>
        </w:rPr>
        <w:t>’</w:t>
      </w:r>
      <w:r w:rsidR="00C1076B" w:rsidRPr="00C1076B">
        <w:rPr>
          <w:rFonts w:ascii="Times New Roman" w:eastAsia="Calibri" w:hAnsi="Times New Roman" w:cs="Times New Roman"/>
          <w:bCs/>
          <w:iCs/>
          <w:sz w:val="24"/>
          <w:szCs w:val="24"/>
        </w:rPr>
        <w:t>s about money. It</w:t>
      </w:r>
      <w:r w:rsidR="00C1076B">
        <w:rPr>
          <w:rFonts w:ascii="Times New Roman" w:eastAsia="Calibri" w:hAnsi="Times New Roman" w:cs="Times New Roman"/>
          <w:bCs/>
          <w:iCs/>
          <w:sz w:val="24"/>
          <w:szCs w:val="24"/>
        </w:rPr>
        <w:t>’</w:t>
      </w:r>
      <w:r w:rsidR="00C1076B" w:rsidRPr="00C1076B">
        <w:rPr>
          <w:rFonts w:ascii="Times New Roman" w:eastAsia="Calibri" w:hAnsi="Times New Roman" w:cs="Times New Roman"/>
          <w:bCs/>
          <w:iCs/>
          <w:sz w:val="24"/>
          <w:szCs w:val="24"/>
        </w:rPr>
        <w:t xml:space="preserve">s all about money. Why give him a ladder? Because </w:t>
      </w:r>
      <w:proofErr w:type="spellStart"/>
      <w:r w:rsidR="00C1076B" w:rsidRPr="00C1076B">
        <w:rPr>
          <w:rFonts w:ascii="Times New Roman" w:eastAsia="Calibri" w:hAnsi="Times New Roman" w:cs="Times New Roman"/>
          <w:bCs/>
          <w:iCs/>
          <w:sz w:val="24"/>
          <w:szCs w:val="24"/>
        </w:rPr>
        <w:t>its</w:t>
      </w:r>
      <w:proofErr w:type="spellEnd"/>
      <w:r w:rsidR="00C1076B" w:rsidRPr="00C1076B">
        <w:rPr>
          <w:rFonts w:ascii="Times New Roman" w:eastAsia="Calibri" w:hAnsi="Times New Roman" w:cs="Times New Roman"/>
          <w:bCs/>
          <w:iCs/>
          <w:sz w:val="24"/>
          <w:szCs w:val="24"/>
        </w:rPr>
        <w:t xml:space="preserve"> cheaper</w:t>
      </w:r>
      <w:r w:rsidR="00C1076B">
        <w:rPr>
          <w:rFonts w:ascii="Times New Roman" w:eastAsia="Calibri" w:hAnsi="Times New Roman" w:cs="Times New Roman"/>
          <w:bCs/>
          <w:iCs/>
          <w:sz w:val="24"/>
          <w:szCs w:val="24"/>
        </w:rPr>
        <w:t>” and that “</w:t>
      </w:r>
      <w:r w:rsidR="00C1076B" w:rsidRPr="00C1076B">
        <w:rPr>
          <w:rFonts w:ascii="Times New Roman" w:eastAsia="Calibri" w:hAnsi="Times New Roman" w:cs="Times New Roman"/>
          <w:bCs/>
          <w:iCs/>
          <w:sz w:val="24"/>
          <w:szCs w:val="24"/>
        </w:rPr>
        <w:t xml:space="preserve">already deep-pocketed </w:t>
      </w:r>
      <w:r w:rsidR="00C1076B">
        <w:rPr>
          <w:rFonts w:ascii="Times New Roman" w:eastAsia="Calibri" w:hAnsi="Times New Roman" w:cs="Times New Roman"/>
          <w:bCs/>
          <w:iCs/>
          <w:sz w:val="24"/>
          <w:szCs w:val="24"/>
        </w:rPr>
        <w:lastRenderedPageBreak/>
        <w:t>‘</w:t>
      </w:r>
      <w:r w:rsidR="00C1076B" w:rsidRPr="00C1076B">
        <w:rPr>
          <w:rFonts w:ascii="Times New Roman" w:eastAsia="Calibri" w:hAnsi="Times New Roman" w:cs="Times New Roman"/>
          <w:bCs/>
          <w:iCs/>
          <w:sz w:val="24"/>
          <w:szCs w:val="24"/>
        </w:rPr>
        <w:t>major corporations</w:t>
      </w:r>
      <w:r w:rsidR="00C1076B">
        <w:rPr>
          <w:rFonts w:ascii="Times New Roman" w:eastAsia="Calibri" w:hAnsi="Times New Roman" w:cs="Times New Roman"/>
          <w:bCs/>
          <w:iCs/>
          <w:sz w:val="24"/>
          <w:szCs w:val="24"/>
        </w:rPr>
        <w:t>’</w:t>
      </w:r>
      <w:r w:rsidR="00C1076B" w:rsidRPr="00C1076B">
        <w:rPr>
          <w:rFonts w:ascii="Times New Roman" w:eastAsia="Calibri" w:hAnsi="Times New Roman" w:cs="Times New Roman"/>
          <w:bCs/>
          <w:iCs/>
          <w:sz w:val="24"/>
          <w:szCs w:val="24"/>
        </w:rPr>
        <w:t xml:space="preserve"> in the </w:t>
      </w:r>
      <w:r w:rsidR="00C1076B">
        <w:rPr>
          <w:rFonts w:ascii="Times New Roman" w:eastAsia="Calibri" w:hAnsi="Times New Roman" w:cs="Times New Roman"/>
          <w:bCs/>
          <w:iCs/>
          <w:sz w:val="24"/>
          <w:szCs w:val="24"/>
        </w:rPr>
        <w:t>‘</w:t>
      </w:r>
      <w:r w:rsidR="00C1076B" w:rsidRPr="00C1076B">
        <w:rPr>
          <w:rFonts w:ascii="Times New Roman" w:eastAsia="Calibri" w:hAnsi="Times New Roman" w:cs="Times New Roman"/>
          <w:bCs/>
          <w:iCs/>
          <w:sz w:val="24"/>
          <w:szCs w:val="24"/>
        </w:rPr>
        <w:t>cold and callous … construction industry</w:t>
      </w:r>
      <w:r w:rsidR="00C1076B">
        <w:rPr>
          <w:rFonts w:ascii="Times New Roman" w:eastAsia="Calibri" w:hAnsi="Times New Roman" w:cs="Times New Roman"/>
          <w:bCs/>
          <w:iCs/>
          <w:sz w:val="24"/>
          <w:szCs w:val="24"/>
        </w:rPr>
        <w:t>’</w:t>
      </w:r>
      <w:r w:rsidR="00C1076B" w:rsidRPr="00C1076B">
        <w:rPr>
          <w:rFonts w:ascii="Times New Roman" w:eastAsia="Calibri" w:hAnsi="Times New Roman" w:cs="Times New Roman"/>
          <w:bCs/>
          <w:iCs/>
          <w:sz w:val="24"/>
          <w:szCs w:val="24"/>
        </w:rPr>
        <w:t xml:space="preserve"> would be unaffected by a large award</w:t>
      </w:r>
      <w:r w:rsidR="00C1076B">
        <w:rPr>
          <w:rFonts w:ascii="Times New Roman" w:eastAsia="Calibri" w:hAnsi="Times New Roman" w:cs="Times New Roman"/>
          <w:bCs/>
          <w:iCs/>
          <w:sz w:val="24"/>
          <w:szCs w:val="24"/>
        </w:rPr>
        <w:t xml:space="preserve">”) (ellipsis in original); </w:t>
      </w:r>
      <w:r w:rsidR="004A27E9" w:rsidRPr="006A5D93">
        <w:rPr>
          <w:rFonts w:ascii="Times New Roman" w:eastAsia="Calibri" w:hAnsi="Times New Roman" w:cs="Times New Roman"/>
          <w:bCs/>
          <w:iCs/>
          <w:sz w:val="24"/>
          <w:szCs w:val="24"/>
          <w:u w:val="single"/>
        </w:rPr>
        <w:t>Swint v. Wm. McEwan Coal Co.</w:t>
      </w:r>
      <w:r w:rsidR="004A27E9" w:rsidRPr="004A27E9">
        <w:rPr>
          <w:rFonts w:ascii="Times New Roman" w:eastAsia="Calibri" w:hAnsi="Times New Roman" w:cs="Times New Roman"/>
          <w:bCs/>
          <w:iCs/>
          <w:sz w:val="24"/>
          <w:szCs w:val="24"/>
        </w:rPr>
        <w:t>, 266 A.D. 701, 702</w:t>
      </w:r>
      <w:r w:rsidR="004A27E9">
        <w:rPr>
          <w:rFonts w:ascii="Times New Roman" w:eastAsia="Calibri" w:hAnsi="Times New Roman" w:cs="Times New Roman"/>
          <w:bCs/>
          <w:iCs/>
          <w:sz w:val="24"/>
          <w:szCs w:val="24"/>
        </w:rPr>
        <w:t xml:space="preserve"> (3d </w:t>
      </w:r>
      <w:proofErr w:type="spellStart"/>
      <w:r w:rsidR="004A27E9">
        <w:rPr>
          <w:rFonts w:ascii="Times New Roman" w:eastAsia="Calibri" w:hAnsi="Times New Roman" w:cs="Times New Roman"/>
          <w:bCs/>
          <w:iCs/>
          <w:sz w:val="24"/>
          <w:szCs w:val="24"/>
        </w:rPr>
        <w:t>Dep</w:t>
      </w:r>
      <w:r w:rsidR="00992B8D">
        <w:rPr>
          <w:rFonts w:ascii="Times New Roman" w:eastAsia="Calibri" w:hAnsi="Times New Roman" w:cs="Times New Roman"/>
          <w:bCs/>
          <w:iCs/>
          <w:sz w:val="24"/>
          <w:szCs w:val="24"/>
        </w:rPr>
        <w:t>’t</w:t>
      </w:r>
      <w:proofErr w:type="spellEnd"/>
      <w:r w:rsidR="004A27E9">
        <w:rPr>
          <w:rFonts w:ascii="Times New Roman" w:eastAsia="Calibri" w:hAnsi="Times New Roman" w:cs="Times New Roman"/>
          <w:bCs/>
          <w:iCs/>
          <w:sz w:val="24"/>
          <w:szCs w:val="24"/>
        </w:rPr>
        <w:t xml:space="preserve"> 1943) (improper summation comments including that during jury selection the opposing party was “</w:t>
      </w:r>
      <w:r w:rsidR="004A27E9" w:rsidRPr="004A27E9">
        <w:rPr>
          <w:rFonts w:ascii="Times New Roman" w:eastAsia="Calibri" w:hAnsi="Times New Roman" w:cs="Times New Roman"/>
          <w:bCs/>
          <w:iCs/>
          <w:sz w:val="24"/>
          <w:szCs w:val="24"/>
        </w:rPr>
        <w:t>trying to get people that they thought we</w:t>
      </w:r>
      <w:r w:rsidR="004A27E9">
        <w:rPr>
          <w:rFonts w:ascii="Times New Roman" w:eastAsia="Calibri" w:hAnsi="Times New Roman" w:cs="Times New Roman"/>
          <w:bCs/>
          <w:iCs/>
          <w:sz w:val="24"/>
          <w:szCs w:val="24"/>
        </w:rPr>
        <w:t>[r]</w:t>
      </w:r>
      <w:r w:rsidR="004A27E9" w:rsidRPr="004A27E9">
        <w:rPr>
          <w:rFonts w:ascii="Times New Roman" w:eastAsia="Calibri" w:hAnsi="Times New Roman" w:cs="Times New Roman"/>
          <w:bCs/>
          <w:iCs/>
          <w:sz w:val="24"/>
          <w:szCs w:val="24"/>
        </w:rPr>
        <w:t>e cheap</w:t>
      </w:r>
      <w:r w:rsidR="004A27E9">
        <w:rPr>
          <w:rFonts w:ascii="Times New Roman" w:eastAsia="Calibri" w:hAnsi="Times New Roman" w:cs="Times New Roman"/>
          <w:bCs/>
          <w:iCs/>
          <w:sz w:val="24"/>
          <w:szCs w:val="24"/>
        </w:rPr>
        <w:t>”)</w:t>
      </w:r>
      <w:r w:rsidR="0040138F">
        <w:rPr>
          <w:rFonts w:ascii="Times New Roman" w:eastAsia="Calibri" w:hAnsi="Times New Roman" w:cs="Times New Roman"/>
          <w:bCs/>
          <w:iCs/>
          <w:sz w:val="24"/>
          <w:szCs w:val="24"/>
        </w:rPr>
        <w:t>, aff’d 291 N.Y. 748 (1943)</w:t>
      </w:r>
      <w:r w:rsidR="00C1076B">
        <w:rPr>
          <w:rFonts w:ascii="Times New Roman" w:eastAsia="Calibri" w:hAnsi="Times New Roman" w:cs="Times New Roman"/>
          <w:bCs/>
          <w:iCs/>
          <w:sz w:val="24"/>
          <w:szCs w:val="24"/>
        </w:rPr>
        <w:t>.</w:t>
      </w:r>
      <w:r w:rsidR="00A56B55" w:rsidRPr="005C7111">
        <w:rPr>
          <w:rFonts w:ascii="Times New Roman" w:eastAsia="Calibri" w:hAnsi="Times New Roman" w:cs="Times New Roman"/>
          <w:bCs/>
          <w:iCs/>
          <w:sz w:val="24"/>
          <w:szCs w:val="24"/>
        </w:rPr>
        <w:t xml:space="preserve"> Absent actual record evidence of such corner-cutting (and here, there is not) </w:t>
      </w:r>
      <w:r w:rsidR="00A56B55" w:rsidRPr="005C7111">
        <w:rPr>
          <w:rFonts w:ascii="Times New Roman" w:eastAsia="Calibri" w:hAnsi="Times New Roman" w:cs="Times New Roman"/>
          <w:bCs/>
          <w:i/>
          <w:sz w:val="24"/>
          <w:szCs w:val="24"/>
          <w:u w:val="single"/>
        </w:rPr>
        <w:t>combined with</w:t>
      </w:r>
      <w:r w:rsidR="00A56B55" w:rsidRPr="005C7111">
        <w:rPr>
          <w:rFonts w:ascii="Times New Roman" w:eastAsia="Calibri" w:hAnsi="Times New Roman" w:cs="Times New Roman"/>
          <w:bCs/>
          <w:iCs/>
          <w:sz w:val="24"/>
          <w:szCs w:val="24"/>
        </w:rPr>
        <w:t xml:space="preserve"> a further demonstration of its relevance to a determination of purely compensatory damages for personal injuries, such remarks are forbidden.</w:t>
      </w:r>
      <w:r w:rsidR="00BE6CA9">
        <w:rPr>
          <w:rFonts w:ascii="Times New Roman" w:eastAsia="Arial" w:hAnsi="Times New Roman" w:cs="Times New Roman"/>
          <w:color w:val="000000"/>
          <w:sz w:val="24"/>
          <w:szCs w:val="24"/>
        </w:rPr>
        <w:t xml:space="preserve"> </w:t>
      </w:r>
      <w:r w:rsidR="00A56B55" w:rsidRPr="005C7111">
        <w:rPr>
          <w:rFonts w:ascii="Times New Roman" w:eastAsia="Calibri" w:hAnsi="Times New Roman" w:cs="Times New Roman"/>
          <w:sz w:val="24"/>
          <w:szCs w:val="24"/>
        </w:rPr>
        <w:t xml:space="preserve">It is equally improper for </w:t>
      </w:r>
      <w:proofErr w:type="gramStart"/>
      <w:r w:rsidR="00A56B55" w:rsidRPr="005C7111">
        <w:rPr>
          <w:rFonts w:ascii="Times New Roman" w:eastAsia="Calibri" w:hAnsi="Times New Roman" w:cs="Times New Roman"/>
          <w:sz w:val="24"/>
          <w:szCs w:val="24"/>
        </w:rPr>
        <w:t>plaintiff</w:t>
      </w:r>
      <w:proofErr w:type="gramEnd"/>
      <w:r w:rsidR="00A56B55" w:rsidRPr="005C7111">
        <w:rPr>
          <w:rFonts w:ascii="Times New Roman" w:eastAsia="Calibri" w:hAnsi="Times New Roman" w:cs="Times New Roman"/>
          <w:sz w:val="24"/>
          <w:szCs w:val="24"/>
        </w:rPr>
        <w:t xml:space="preserve"> to </w:t>
      </w:r>
      <w:r w:rsidR="00BE6CA9">
        <w:rPr>
          <w:rFonts w:ascii="Times New Roman" w:eastAsia="Calibri" w:hAnsi="Times New Roman" w:cs="Times New Roman"/>
          <w:sz w:val="24"/>
          <w:szCs w:val="24"/>
        </w:rPr>
        <w:t>maintain</w:t>
      </w:r>
      <w:r w:rsidR="00A56B55" w:rsidRPr="005C7111">
        <w:rPr>
          <w:rFonts w:ascii="Times New Roman" w:eastAsia="Calibri" w:hAnsi="Times New Roman" w:cs="Times New Roman"/>
          <w:sz w:val="24"/>
          <w:szCs w:val="24"/>
        </w:rPr>
        <w:t xml:space="preserve"> that the defendant </w:t>
      </w:r>
      <w:r w:rsidR="002255F7">
        <w:rPr>
          <w:rFonts w:ascii="Times New Roman" w:eastAsia="Calibri" w:hAnsi="Times New Roman" w:cs="Times New Roman"/>
          <w:sz w:val="24"/>
          <w:szCs w:val="24"/>
        </w:rPr>
        <w:t>placed</w:t>
      </w:r>
      <w:r w:rsidR="00A56B55" w:rsidRPr="005C7111">
        <w:rPr>
          <w:rFonts w:ascii="Times New Roman" w:eastAsia="Calibri" w:hAnsi="Times New Roman" w:cs="Times New Roman"/>
          <w:sz w:val="24"/>
          <w:szCs w:val="24"/>
        </w:rPr>
        <w:t xml:space="preserve"> profits over safety </w:t>
      </w:r>
      <w:r w:rsidR="00BE6CA9">
        <w:rPr>
          <w:rFonts w:ascii="Times New Roman" w:eastAsia="Calibri" w:hAnsi="Times New Roman" w:cs="Times New Roman"/>
          <w:sz w:val="24"/>
          <w:szCs w:val="24"/>
        </w:rPr>
        <w:t xml:space="preserve">without </w:t>
      </w:r>
      <w:r w:rsidR="002A4470">
        <w:rPr>
          <w:rFonts w:ascii="Times New Roman" w:eastAsia="Calibri" w:hAnsi="Times New Roman" w:cs="Times New Roman"/>
          <w:sz w:val="24"/>
          <w:szCs w:val="24"/>
        </w:rPr>
        <w:t xml:space="preserve">eliciting </w:t>
      </w:r>
      <w:r w:rsidR="004F238E">
        <w:rPr>
          <w:rFonts w:ascii="Times New Roman" w:eastAsia="Calibri" w:hAnsi="Times New Roman" w:cs="Times New Roman"/>
          <w:sz w:val="24"/>
          <w:szCs w:val="24"/>
        </w:rPr>
        <w:t xml:space="preserve">evidence supporting </w:t>
      </w:r>
      <w:r w:rsidR="002A4470">
        <w:rPr>
          <w:rFonts w:ascii="Times New Roman" w:eastAsia="Calibri" w:hAnsi="Times New Roman" w:cs="Times New Roman"/>
          <w:sz w:val="24"/>
          <w:szCs w:val="24"/>
        </w:rPr>
        <w:t>this theory</w:t>
      </w:r>
      <w:r w:rsidR="00A56B55" w:rsidRPr="005C7111">
        <w:rPr>
          <w:rFonts w:ascii="Times New Roman" w:eastAsia="Calibri" w:hAnsi="Times New Roman" w:cs="Times New Roman"/>
          <w:sz w:val="24"/>
          <w:szCs w:val="24"/>
        </w:rPr>
        <w:t xml:space="preserve">. </w:t>
      </w:r>
    </w:p>
    <w:p w14:paraId="6AAB5BE1" w14:textId="6B735E14" w:rsidR="00EB0E02" w:rsidRDefault="003074F2" w:rsidP="0074108C">
      <w:pPr>
        <w:spacing w:after="0" w:line="480" w:lineRule="auto"/>
        <w:ind w:firstLine="720"/>
        <w:jc w:val="both"/>
        <w:rPr>
          <w:rFonts w:ascii="Times New Roman" w:hAnsi="Times New Roman" w:cs="Times New Roman"/>
          <w:sz w:val="24"/>
          <w:szCs w:val="24"/>
        </w:rPr>
      </w:pPr>
      <w:r>
        <w:rPr>
          <w:rFonts w:ascii="Times New Roman" w:eastAsia="Calibri" w:hAnsi="Times New Roman" w:cs="Times New Roman"/>
          <w:bCs/>
          <w:iCs/>
          <w:sz w:val="24"/>
          <w:szCs w:val="24"/>
        </w:rPr>
        <w:t>Relatedly, m</w:t>
      </w:r>
      <w:r w:rsidR="00EB0E02">
        <w:rPr>
          <w:rFonts w:ascii="Times New Roman" w:eastAsia="Calibri" w:hAnsi="Times New Roman" w:cs="Times New Roman"/>
          <w:bCs/>
          <w:iCs/>
          <w:sz w:val="24"/>
          <w:szCs w:val="24"/>
        </w:rPr>
        <w:t>entioning insurance coverage is str</w:t>
      </w:r>
      <w:r w:rsidR="007D3E87">
        <w:rPr>
          <w:rFonts w:ascii="Times New Roman" w:eastAsia="Calibri" w:hAnsi="Times New Roman" w:cs="Times New Roman"/>
          <w:bCs/>
          <w:iCs/>
          <w:sz w:val="24"/>
          <w:szCs w:val="24"/>
        </w:rPr>
        <w:t xml:space="preserve">ictly </w:t>
      </w:r>
      <w:r w:rsidR="00EB0E02">
        <w:rPr>
          <w:rFonts w:ascii="Times New Roman" w:eastAsia="Calibri" w:hAnsi="Times New Roman" w:cs="Times New Roman"/>
          <w:bCs/>
          <w:iCs/>
          <w:sz w:val="24"/>
          <w:szCs w:val="24"/>
        </w:rPr>
        <w:t xml:space="preserve">prohibited, </w:t>
      </w:r>
      <w:r w:rsidR="00BC0F6D">
        <w:rPr>
          <w:rFonts w:ascii="Times New Roman" w:eastAsia="Calibri" w:hAnsi="Times New Roman" w:cs="Times New Roman"/>
          <w:bCs/>
          <w:iCs/>
          <w:sz w:val="24"/>
          <w:szCs w:val="24"/>
        </w:rPr>
        <w:t>yet</w:t>
      </w:r>
      <w:r w:rsidR="00EB0E02">
        <w:rPr>
          <w:rFonts w:ascii="Times New Roman" w:eastAsia="Calibri" w:hAnsi="Times New Roman" w:cs="Times New Roman"/>
          <w:bCs/>
          <w:iCs/>
          <w:sz w:val="24"/>
          <w:szCs w:val="24"/>
        </w:rPr>
        <w:t xml:space="preserve"> remains a common </w:t>
      </w:r>
      <w:r w:rsidR="007D3E87">
        <w:rPr>
          <w:rFonts w:ascii="Times New Roman" w:eastAsia="Calibri" w:hAnsi="Times New Roman" w:cs="Times New Roman"/>
          <w:bCs/>
          <w:iCs/>
          <w:sz w:val="24"/>
          <w:szCs w:val="24"/>
        </w:rPr>
        <w:t>tactic</w:t>
      </w:r>
      <w:r w:rsidR="00EB0E02">
        <w:rPr>
          <w:rFonts w:ascii="Times New Roman" w:eastAsia="Calibri" w:hAnsi="Times New Roman" w:cs="Times New Roman"/>
          <w:bCs/>
          <w:iCs/>
          <w:sz w:val="24"/>
          <w:szCs w:val="24"/>
        </w:rPr>
        <w:t xml:space="preserve">. </w:t>
      </w:r>
      <w:r w:rsidR="000D62B9">
        <w:rPr>
          <w:rFonts w:ascii="Times New Roman" w:eastAsia="Calibri" w:hAnsi="Times New Roman" w:cs="Times New Roman"/>
          <w:bCs/>
          <w:iCs/>
          <w:sz w:val="24"/>
          <w:szCs w:val="24"/>
          <w:u w:val="single"/>
        </w:rPr>
        <w:t>See</w:t>
      </w:r>
      <w:r w:rsidR="000D62B9">
        <w:rPr>
          <w:rFonts w:ascii="Times New Roman" w:eastAsia="Calibri" w:hAnsi="Times New Roman" w:cs="Times New Roman"/>
          <w:bCs/>
          <w:iCs/>
          <w:sz w:val="24"/>
          <w:szCs w:val="24"/>
        </w:rPr>
        <w:t xml:space="preserve"> </w:t>
      </w:r>
      <w:r w:rsidR="000D62B9" w:rsidRPr="00FC1984">
        <w:rPr>
          <w:rFonts w:ascii="Times New Roman" w:hAnsi="Times New Roman"/>
          <w:kern w:val="0"/>
          <w:sz w:val="24"/>
          <w:u w:val="single"/>
          <w14:ligatures w14:val="none"/>
        </w:rPr>
        <w:t>Simpson v. Foundation Co.</w:t>
      </w:r>
      <w:r w:rsidR="000D62B9" w:rsidRPr="00FC1984">
        <w:rPr>
          <w:rFonts w:ascii="Times New Roman" w:hAnsi="Times New Roman"/>
          <w:kern w:val="0"/>
          <w:sz w:val="24"/>
          <w14:ligatures w14:val="none"/>
        </w:rPr>
        <w:t>, 201 N.Y. 479, 490</w:t>
      </w:r>
      <w:r w:rsidR="000D62B9">
        <w:rPr>
          <w:rFonts w:ascii="Times New Roman" w:hAnsi="Times New Roman"/>
          <w:kern w:val="0"/>
          <w:sz w:val="24"/>
          <w14:ligatures w14:val="none"/>
        </w:rPr>
        <w:t xml:space="preserve"> (1911); </w:t>
      </w:r>
      <w:r w:rsidR="000D62B9" w:rsidRPr="00D66F1C">
        <w:rPr>
          <w:rFonts w:ascii="Times New Roman" w:hAnsi="Times New Roman"/>
          <w:kern w:val="0"/>
          <w:sz w:val="24"/>
          <w:u w:val="single"/>
          <w14:ligatures w14:val="none"/>
        </w:rPr>
        <w:t>Grogan v. Nizam</w:t>
      </w:r>
      <w:r w:rsidR="000D62B9" w:rsidRPr="00D66F1C">
        <w:rPr>
          <w:rFonts w:ascii="Times New Roman" w:hAnsi="Times New Roman"/>
          <w:kern w:val="0"/>
          <w:sz w:val="24"/>
          <w14:ligatures w14:val="none"/>
        </w:rPr>
        <w:t>, 66 A.D.3d 734, 736</w:t>
      </w:r>
      <w:r w:rsidR="000D62B9">
        <w:rPr>
          <w:rFonts w:ascii="Times New Roman" w:hAnsi="Times New Roman"/>
          <w:kern w:val="0"/>
          <w:sz w:val="24"/>
          <w14:ligatures w14:val="none"/>
        </w:rPr>
        <w:t xml:space="preserve"> (2d Dept. 2009); </w:t>
      </w:r>
      <w:r w:rsidR="000D62B9" w:rsidRPr="006B3CEA">
        <w:rPr>
          <w:rFonts w:ascii="Times New Roman" w:hAnsi="Times New Roman" w:cs="Times New Roman"/>
          <w:sz w:val="24"/>
          <w:szCs w:val="24"/>
          <w:u w:val="single"/>
        </w:rPr>
        <w:t>Johnson v. Lazarowitz</w:t>
      </w:r>
      <w:r w:rsidR="000D62B9" w:rsidRPr="006B3CEA">
        <w:rPr>
          <w:rFonts w:ascii="Times New Roman" w:hAnsi="Times New Roman" w:cs="Times New Roman"/>
          <w:sz w:val="24"/>
          <w:szCs w:val="24"/>
        </w:rPr>
        <w:t>, 4 A.D.3d 334, 336</w:t>
      </w:r>
      <w:r w:rsidR="000D62B9">
        <w:rPr>
          <w:rFonts w:ascii="Times New Roman" w:hAnsi="Times New Roman" w:cs="Times New Roman"/>
          <w:sz w:val="24"/>
          <w:szCs w:val="24"/>
        </w:rPr>
        <w:t xml:space="preserve"> (2d Dept. 2004); </w:t>
      </w:r>
      <w:proofErr w:type="spellStart"/>
      <w:r w:rsidR="000D62B9" w:rsidRPr="005C7111">
        <w:rPr>
          <w:rFonts w:ascii="Times New Roman" w:eastAsia="Calibri" w:hAnsi="Times New Roman" w:cs="Times New Roman"/>
          <w:sz w:val="24"/>
          <w:szCs w:val="24"/>
          <w:u w:val="single"/>
        </w:rPr>
        <w:t>Butigian</w:t>
      </w:r>
      <w:proofErr w:type="spellEnd"/>
      <w:r w:rsidR="000D62B9" w:rsidRPr="005C7111">
        <w:rPr>
          <w:rFonts w:ascii="Times New Roman" w:eastAsia="Calibri" w:hAnsi="Times New Roman" w:cs="Times New Roman"/>
          <w:sz w:val="24"/>
          <w:szCs w:val="24"/>
        </w:rPr>
        <w:t xml:space="preserve">, 293 A.D.2d </w:t>
      </w:r>
      <w:r w:rsidR="000D62B9">
        <w:rPr>
          <w:rFonts w:ascii="Times New Roman" w:eastAsia="Calibri" w:hAnsi="Times New Roman" w:cs="Times New Roman"/>
          <w:sz w:val="24"/>
          <w:szCs w:val="24"/>
        </w:rPr>
        <w:t>at</w:t>
      </w:r>
      <w:r w:rsidR="000D62B9" w:rsidRPr="005C7111">
        <w:rPr>
          <w:rFonts w:ascii="Times New Roman" w:eastAsia="Calibri" w:hAnsi="Times New Roman" w:cs="Times New Roman"/>
          <w:sz w:val="24"/>
          <w:szCs w:val="24"/>
        </w:rPr>
        <w:t xml:space="preserve"> 252</w:t>
      </w:r>
      <w:r w:rsidR="000D62B9">
        <w:rPr>
          <w:rFonts w:ascii="Times New Roman" w:eastAsia="Calibri" w:hAnsi="Times New Roman" w:cs="Times New Roman"/>
          <w:sz w:val="24"/>
          <w:szCs w:val="24"/>
        </w:rPr>
        <w:t xml:space="preserve">; </w:t>
      </w:r>
      <w:r w:rsidR="000D62B9" w:rsidRPr="006A5D93">
        <w:rPr>
          <w:rFonts w:ascii="Times New Roman" w:eastAsia="Calibri" w:hAnsi="Times New Roman" w:cs="Times New Roman"/>
          <w:sz w:val="24"/>
          <w:szCs w:val="24"/>
          <w:u w:val="single"/>
        </w:rPr>
        <w:t>Herbert H. Post &amp; Co. v. Sidney Bitterman, Inc.</w:t>
      </w:r>
      <w:r w:rsidR="000D62B9" w:rsidRPr="000D62B9">
        <w:rPr>
          <w:rFonts w:ascii="Times New Roman" w:eastAsia="Calibri" w:hAnsi="Times New Roman" w:cs="Times New Roman"/>
          <w:sz w:val="24"/>
          <w:szCs w:val="24"/>
        </w:rPr>
        <w:t>, 219 A.D.2d 214, 229</w:t>
      </w:r>
      <w:r w:rsidR="000D62B9">
        <w:rPr>
          <w:rFonts w:ascii="Times New Roman" w:eastAsia="Calibri" w:hAnsi="Times New Roman" w:cs="Times New Roman"/>
          <w:sz w:val="24"/>
          <w:szCs w:val="24"/>
        </w:rPr>
        <w:t xml:space="preserve"> (1st Dept. 1996); </w:t>
      </w:r>
      <w:r w:rsidR="000D62B9">
        <w:rPr>
          <w:rFonts w:ascii="Times New Roman" w:eastAsia="Calibri" w:hAnsi="Times New Roman" w:cs="Times New Roman"/>
          <w:sz w:val="24"/>
          <w:szCs w:val="24"/>
          <w:u w:val="single"/>
        </w:rPr>
        <w:t>see</w:t>
      </w:r>
      <w:r w:rsidR="000D62B9">
        <w:rPr>
          <w:rFonts w:ascii="Times New Roman" w:eastAsia="Calibri" w:hAnsi="Times New Roman" w:cs="Times New Roman"/>
          <w:sz w:val="24"/>
          <w:szCs w:val="24"/>
        </w:rPr>
        <w:t xml:space="preserve"> </w:t>
      </w:r>
      <w:r w:rsidR="000D62B9">
        <w:rPr>
          <w:rFonts w:ascii="Times New Roman" w:eastAsia="Calibri" w:hAnsi="Times New Roman" w:cs="Times New Roman"/>
          <w:sz w:val="24"/>
          <w:szCs w:val="24"/>
          <w:u w:val="single"/>
        </w:rPr>
        <w:t>also</w:t>
      </w:r>
      <w:r w:rsidR="000D62B9">
        <w:rPr>
          <w:rFonts w:ascii="Times New Roman" w:eastAsia="Calibri" w:hAnsi="Times New Roman" w:cs="Times New Roman"/>
          <w:sz w:val="24"/>
          <w:szCs w:val="24"/>
        </w:rPr>
        <w:t xml:space="preserve"> </w:t>
      </w:r>
      <w:r w:rsidR="00EB0E02" w:rsidRPr="00284AC2">
        <w:rPr>
          <w:rFonts w:ascii="Times New Roman" w:hAnsi="Times New Roman" w:cs="Times New Roman"/>
          <w:sz w:val="24"/>
          <w:szCs w:val="24"/>
          <w:u w:val="single"/>
        </w:rPr>
        <w:t>Consorti v. Armstrong World Indus.</w:t>
      </w:r>
      <w:r w:rsidR="00EB0E02" w:rsidRPr="003D1708">
        <w:rPr>
          <w:rFonts w:ascii="Times New Roman" w:hAnsi="Times New Roman" w:cs="Times New Roman"/>
          <w:sz w:val="24"/>
          <w:szCs w:val="24"/>
        </w:rPr>
        <w:t xml:space="preserve">, 72 F.3d 1003, </w:t>
      </w:r>
      <w:r w:rsidR="00EB0E02">
        <w:rPr>
          <w:rFonts w:ascii="Times New Roman" w:hAnsi="Times New Roman" w:cs="Times New Roman"/>
          <w:sz w:val="24"/>
          <w:szCs w:val="24"/>
        </w:rPr>
        <w:t>1009 fn.2 (2d Cir. 1995)</w:t>
      </w:r>
      <w:r w:rsidR="00EB0E02">
        <w:rPr>
          <w:rFonts w:ascii="Times New Roman" w:hAnsi="Times New Roman"/>
          <w:kern w:val="0"/>
          <w:sz w:val="24"/>
          <w14:ligatures w14:val="none"/>
        </w:rPr>
        <w:t xml:space="preserve"> (“</w:t>
      </w:r>
      <w:r w:rsidR="00EB0E02" w:rsidRPr="00372A3D">
        <w:rPr>
          <w:rFonts w:ascii="Times New Roman" w:hAnsi="Times New Roman"/>
          <w:kern w:val="0"/>
          <w:sz w:val="24"/>
          <w14:ligatures w14:val="none"/>
        </w:rPr>
        <w:t>Juries may be especially inclined to make substantial awards when they believe that the defendant</w:t>
      </w:r>
      <w:r w:rsidR="00EB0E02">
        <w:rPr>
          <w:rFonts w:ascii="Times New Roman" w:hAnsi="Times New Roman"/>
          <w:kern w:val="0"/>
          <w:sz w:val="24"/>
          <w14:ligatures w14:val="none"/>
        </w:rPr>
        <w:t>’</w:t>
      </w:r>
      <w:r w:rsidR="00EB0E02" w:rsidRPr="00372A3D">
        <w:rPr>
          <w:rFonts w:ascii="Times New Roman" w:hAnsi="Times New Roman"/>
          <w:kern w:val="0"/>
          <w:sz w:val="24"/>
          <w14:ligatures w14:val="none"/>
        </w:rPr>
        <w:t>s liability is covered by insurance. While insurance frequently does cover the liability, jurors may neglect to consider the broader effect of their award on insurance premiums</w:t>
      </w:r>
      <w:r w:rsidR="00EB0E02">
        <w:rPr>
          <w:rFonts w:ascii="Times New Roman" w:hAnsi="Times New Roman"/>
          <w:kern w:val="0"/>
          <w:sz w:val="24"/>
          <w14:ligatures w14:val="none"/>
        </w:rPr>
        <w:t xml:space="preserve">”), </w:t>
      </w:r>
      <w:r w:rsidR="00EB0E02" w:rsidRPr="00540668">
        <w:rPr>
          <w:rFonts w:ascii="Times New Roman" w:hAnsi="Times New Roman" w:cs="Times New Roman"/>
          <w:sz w:val="24"/>
          <w:szCs w:val="24"/>
          <w:u w:val="single"/>
        </w:rPr>
        <w:t>vacated on other grounds</w:t>
      </w:r>
      <w:r w:rsidR="00EB0E02">
        <w:rPr>
          <w:rFonts w:ascii="Times New Roman" w:hAnsi="Times New Roman" w:cs="Times New Roman"/>
          <w:sz w:val="24"/>
          <w:szCs w:val="24"/>
        </w:rPr>
        <w:t xml:space="preserve"> </w:t>
      </w:r>
      <w:r w:rsidR="00EB0E02" w:rsidRPr="00284AC2">
        <w:rPr>
          <w:rFonts w:ascii="Times New Roman" w:hAnsi="Times New Roman" w:cs="Times New Roman"/>
          <w:sz w:val="24"/>
          <w:szCs w:val="24"/>
        </w:rPr>
        <w:t>518 U.S. 1031</w:t>
      </w:r>
      <w:r w:rsidR="00EB0E02">
        <w:rPr>
          <w:rFonts w:ascii="Times New Roman" w:hAnsi="Times New Roman" w:cs="Times New Roman"/>
          <w:sz w:val="24"/>
          <w:szCs w:val="24"/>
        </w:rPr>
        <w:t xml:space="preserve"> (1996).</w:t>
      </w:r>
    </w:p>
    <w:p w14:paraId="2D5889D2" w14:textId="77777777" w:rsidR="00807BAB" w:rsidRDefault="000D62B9" w:rsidP="00807BAB">
      <w:pPr>
        <w:spacing w:after="0" w:line="240" w:lineRule="auto"/>
        <w:ind w:left="1440" w:right="1440"/>
        <w:jc w:val="both"/>
        <w:rPr>
          <w:rFonts w:ascii="Times New Roman" w:eastAsia="Calibri" w:hAnsi="Times New Roman" w:cs="Times New Roman"/>
          <w:bCs/>
          <w:iCs/>
          <w:sz w:val="24"/>
          <w:szCs w:val="24"/>
        </w:rPr>
      </w:pPr>
      <w:r w:rsidRPr="000D62B9">
        <w:rPr>
          <w:rFonts w:ascii="Times New Roman" w:eastAsia="Calibri" w:hAnsi="Times New Roman" w:cs="Times New Roman"/>
          <w:bCs/>
          <w:iCs/>
          <w:sz w:val="24"/>
          <w:szCs w:val="24"/>
        </w:rPr>
        <w:t xml:space="preserve">Evidence that a defendant carries liability insurance is generally inadmissible. The rationale underlying this rule is twofold. </w:t>
      </w:r>
      <w:proofErr w:type="gramStart"/>
      <w:r w:rsidRPr="006A5D93">
        <w:rPr>
          <w:rFonts w:ascii="Times New Roman" w:eastAsia="Calibri" w:hAnsi="Times New Roman" w:cs="Times New Roman"/>
          <w:bCs/>
          <w:i/>
          <w:sz w:val="24"/>
          <w:szCs w:val="24"/>
        </w:rPr>
        <w:t xml:space="preserve">First, </w:t>
      </w:r>
      <w:r w:rsidR="00216C68" w:rsidRPr="006A5D93">
        <w:rPr>
          <w:rFonts w:ascii="Times New Roman" w:eastAsia="Calibri" w:hAnsi="Times New Roman" w:cs="Times New Roman"/>
          <w:bCs/>
          <w:i/>
          <w:sz w:val="24"/>
          <w:szCs w:val="24"/>
        </w:rPr>
        <w:t>‘</w:t>
      </w:r>
      <w:proofErr w:type="gramEnd"/>
      <w:r w:rsidRPr="006A5D93">
        <w:rPr>
          <w:rFonts w:ascii="Times New Roman" w:eastAsia="Calibri" w:hAnsi="Times New Roman" w:cs="Times New Roman"/>
          <w:bCs/>
          <w:i/>
          <w:sz w:val="24"/>
          <w:szCs w:val="24"/>
        </w:rPr>
        <w:t>it might make it much easier to find an adverse verdict if the jury understood that an insurance company would be compelled to pay the verdict</w:t>
      </w:r>
      <w:r w:rsidR="00216C68" w:rsidRPr="006A5D93">
        <w:rPr>
          <w:rFonts w:ascii="Times New Roman" w:eastAsia="Calibri" w:hAnsi="Times New Roman" w:cs="Times New Roman"/>
          <w:bCs/>
          <w:i/>
          <w:sz w:val="24"/>
          <w:szCs w:val="24"/>
        </w:rPr>
        <w:t>’</w:t>
      </w:r>
      <w:r w:rsidRPr="006A5D93">
        <w:rPr>
          <w:rFonts w:ascii="Times New Roman" w:eastAsia="Calibri" w:hAnsi="Times New Roman" w:cs="Times New Roman"/>
          <w:bCs/>
          <w:i/>
          <w:sz w:val="24"/>
          <w:szCs w:val="24"/>
        </w:rPr>
        <w:t>.</w:t>
      </w:r>
      <w:r w:rsidRPr="000D62B9">
        <w:rPr>
          <w:rFonts w:ascii="Times New Roman" w:eastAsia="Calibri" w:hAnsi="Times New Roman" w:cs="Times New Roman"/>
          <w:bCs/>
          <w:iCs/>
          <w:sz w:val="24"/>
          <w:szCs w:val="24"/>
        </w:rPr>
        <w:t xml:space="preserve"> Second, evidence of liability insurance injects a collateral issue into the trial that is not relevant as to whether the insured acted negligently. Although we have acknowledged that liability insurance has increasingly become more prevalent and that, consequently, jurors are now more likely to be aware of the possibility of insurance coverage, we have continued to recognize the potential for prejudice</w:t>
      </w:r>
    </w:p>
    <w:p w14:paraId="23645882" w14:textId="745649C2" w:rsidR="000D62B9" w:rsidRDefault="000D62B9" w:rsidP="00807BAB">
      <w:pPr>
        <w:spacing w:after="0" w:line="240" w:lineRule="auto"/>
        <w:ind w:left="1440" w:right="1440"/>
        <w:jc w:val="both"/>
        <w:rPr>
          <w:rFonts w:ascii="Times New Roman" w:eastAsia="Calibri" w:hAnsi="Times New Roman" w:cs="Times New Roman"/>
          <w:bCs/>
          <w:iCs/>
          <w:sz w:val="24"/>
          <w:szCs w:val="24"/>
        </w:rPr>
      </w:pPr>
      <w:r w:rsidRPr="006A5D93">
        <w:rPr>
          <w:rFonts w:ascii="Times New Roman" w:eastAsia="Calibri" w:hAnsi="Times New Roman" w:cs="Times New Roman"/>
          <w:bCs/>
          <w:iCs/>
          <w:sz w:val="24"/>
          <w:szCs w:val="24"/>
          <w:u w:val="single"/>
        </w:rPr>
        <w:lastRenderedPageBreak/>
        <w:t>Salm v. Moses</w:t>
      </w:r>
      <w:r w:rsidRPr="000D62B9">
        <w:rPr>
          <w:rFonts w:ascii="Times New Roman" w:eastAsia="Calibri" w:hAnsi="Times New Roman" w:cs="Times New Roman"/>
          <w:bCs/>
          <w:iCs/>
          <w:sz w:val="24"/>
          <w:szCs w:val="24"/>
        </w:rPr>
        <w:t>, 13 N.Y.3d 816, 817-818</w:t>
      </w:r>
      <w:r>
        <w:rPr>
          <w:rFonts w:ascii="Times New Roman" w:eastAsia="Calibri" w:hAnsi="Times New Roman" w:cs="Times New Roman"/>
          <w:bCs/>
          <w:iCs/>
          <w:sz w:val="24"/>
          <w:szCs w:val="24"/>
        </w:rPr>
        <w:t xml:space="preserve"> (2009) (citations omitted</w:t>
      </w:r>
      <w:r w:rsidR="00216C68">
        <w:rPr>
          <w:rFonts w:ascii="Times New Roman" w:eastAsia="Calibri" w:hAnsi="Times New Roman" w:cs="Times New Roman"/>
          <w:bCs/>
          <w:iCs/>
          <w:sz w:val="24"/>
          <w:szCs w:val="24"/>
        </w:rPr>
        <w:t>, emphasis added</w:t>
      </w:r>
      <w:r>
        <w:rPr>
          <w:rFonts w:ascii="Times New Roman" w:eastAsia="Calibri" w:hAnsi="Times New Roman" w:cs="Times New Roman"/>
          <w:bCs/>
          <w:iCs/>
          <w:sz w:val="24"/>
          <w:szCs w:val="24"/>
        </w:rPr>
        <w:t>)</w:t>
      </w:r>
      <w:r w:rsidR="00564F53">
        <w:rPr>
          <w:rFonts w:ascii="Times New Roman" w:eastAsia="Calibri" w:hAnsi="Times New Roman" w:cs="Times New Roman"/>
          <w:bCs/>
          <w:iCs/>
          <w:sz w:val="24"/>
          <w:szCs w:val="24"/>
        </w:rPr>
        <w:t>.</w:t>
      </w:r>
    </w:p>
    <w:p w14:paraId="38545476" w14:textId="77777777" w:rsidR="00807BAB" w:rsidRDefault="00807BAB" w:rsidP="00807BAB">
      <w:pPr>
        <w:spacing w:after="0" w:line="240" w:lineRule="auto"/>
        <w:ind w:left="1440" w:right="1440"/>
        <w:jc w:val="both"/>
        <w:rPr>
          <w:rFonts w:ascii="Times New Roman" w:eastAsia="Calibri" w:hAnsi="Times New Roman" w:cs="Times New Roman"/>
          <w:bCs/>
          <w:iCs/>
          <w:sz w:val="24"/>
          <w:szCs w:val="24"/>
        </w:rPr>
      </w:pPr>
    </w:p>
    <w:p w14:paraId="78D1E632" w14:textId="71C99533" w:rsidR="00AA567F" w:rsidRPr="00564F53" w:rsidRDefault="00807BAB" w:rsidP="0074108C">
      <w:pPr>
        <w:spacing w:after="0"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The goal of mentioning insurance</w:t>
      </w:r>
      <w:r w:rsidR="00E76C48" w:rsidRPr="005C7111">
        <w:rPr>
          <w:rFonts w:ascii="Times New Roman" w:eastAsia="Calibri" w:hAnsi="Times New Roman" w:cs="Times New Roman"/>
          <w:sz w:val="24"/>
          <w:szCs w:val="24"/>
        </w:rPr>
        <w:t xml:space="preserve"> is</w:t>
      </w:r>
      <w:r w:rsidR="00564F53">
        <w:rPr>
          <w:rFonts w:ascii="Times New Roman" w:eastAsia="Calibri" w:hAnsi="Times New Roman" w:cs="Times New Roman"/>
          <w:sz w:val="24"/>
          <w:szCs w:val="24"/>
        </w:rPr>
        <w:t xml:space="preserve"> </w:t>
      </w:r>
      <w:r w:rsidR="00E76C48" w:rsidRPr="005C7111">
        <w:rPr>
          <w:rFonts w:ascii="Times New Roman" w:eastAsia="Calibri" w:hAnsi="Times New Roman" w:cs="Times New Roman"/>
          <w:sz w:val="24"/>
          <w:szCs w:val="24"/>
        </w:rPr>
        <w:t xml:space="preserve">to convince the jury to either punish the defendant or return an oversized award on the improper bases that </w:t>
      </w:r>
      <w:r w:rsidR="00E76C48">
        <w:rPr>
          <w:rFonts w:ascii="Times New Roman" w:eastAsia="Calibri" w:hAnsi="Times New Roman" w:cs="Times New Roman"/>
          <w:sz w:val="24"/>
          <w:szCs w:val="24"/>
        </w:rPr>
        <w:t>“</w:t>
      </w:r>
      <w:r w:rsidR="00E76C48" w:rsidRPr="005C7111">
        <w:rPr>
          <w:rFonts w:ascii="Times New Roman" w:eastAsia="Calibri" w:hAnsi="Times New Roman" w:cs="Times New Roman"/>
          <w:sz w:val="24"/>
          <w:szCs w:val="24"/>
        </w:rPr>
        <w:t>who-cares-because-it’s-covered-by-insurance</w:t>
      </w:r>
      <w:r w:rsidR="00E76C48">
        <w:rPr>
          <w:rFonts w:ascii="Times New Roman" w:eastAsia="Calibri" w:hAnsi="Times New Roman" w:cs="Times New Roman"/>
          <w:sz w:val="24"/>
          <w:szCs w:val="24"/>
        </w:rPr>
        <w:t>”</w:t>
      </w:r>
      <w:r w:rsidR="00E76C48" w:rsidRPr="005C7111">
        <w:rPr>
          <w:rFonts w:ascii="Times New Roman" w:eastAsia="Calibri" w:hAnsi="Times New Roman" w:cs="Times New Roman"/>
          <w:sz w:val="24"/>
          <w:szCs w:val="24"/>
        </w:rPr>
        <w:t xml:space="preserve"> or </w:t>
      </w:r>
      <w:r w:rsidR="00E76C48">
        <w:rPr>
          <w:rFonts w:ascii="Times New Roman" w:eastAsia="Calibri" w:hAnsi="Times New Roman" w:cs="Times New Roman"/>
          <w:sz w:val="24"/>
          <w:szCs w:val="24"/>
        </w:rPr>
        <w:t>“</w:t>
      </w:r>
      <w:r w:rsidR="00E76C48" w:rsidRPr="005C7111">
        <w:rPr>
          <w:rFonts w:ascii="Times New Roman" w:eastAsia="Calibri" w:hAnsi="Times New Roman" w:cs="Times New Roman"/>
          <w:sz w:val="24"/>
          <w:szCs w:val="24"/>
        </w:rPr>
        <w:t>they-can-afford-to-pay</w:t>
      </w:r>
      <w:r w:rsidR="00E76C48">
        <w:rPr>
          <w:rFonts w:ascii="Times New Roman" w:eastAsia="Calibri" w:hAnsi="Times New Roman" w:cs="Times New Roman"/>
          <w:sz w:val="24"/>
          <w:szCs w:val="24"/>
        </w:rPr>
        <w:t xml:space="preserve">.” </w:t>
      </w:r>
      <w:r w:rsidR="00564F53">
        <w:rPr>
          <w:rFonts w:ascii="Times New Roman" w:eastAsia="Calibri" w:hAnsi="Times New Roman" w:cs="Times New Roman"/>
          <w:sz w:val="24"/>
          <w:szCs w:val="24"/>
          <w:u w:val="single"/>
        </w:rPr>
        <w:t>See</w:t>
      </w:r>
      <w:r w:rsidR="00564F53">
        <w:rPr>
          <w:rFonts w:ascii="Times New Roman" w:eastAsia="Calibri" w:hAnsi="Times New Roman" w:cs="Times New Roman"/>
          <w:sz w:val="24"/>
          <w:szCs w:val="24"/>
        </w:rPr>
        <w:t xml:space="preserve"> </w:t>
      </w:r>
      <w:r w:rsidR="00564F53" w:rsidRPr="00C62832">
        <w:rPr>
          <w:rFonts w:ascii="Times New Roman" w:eastAsia="Calibri" w:hAnsi="Times New Roman" w:cs="Times New Roman"/>
          <w:bCs/>
          <w:iCs/>
          <w:sz w:val="24"/>
          <w:szCs w:val="24"/>
          <w:u w:val="single"/>
        </w:rPr>
        <w:t>Salm</w:t>
      </w:r>
      <w:r w:rsidR="00564F53" w:rsidRPr="000D62B9">
        <w:rPr>
          <w:rFonts w:ascii="Times New Roman" w:eastAsia="Calibri" w:hAnsi="Times New Roman" w:cs="Times New Roman"/>
          <w:bCs/>
          <w:iCs/>
          <w:sz w:val="24"/>
          <w:szCs w:val="24"/>
        </w:rPr>
        <w:t xml:space="preserve">, 13 N.Y.3d </w:t>
      </w:r>
      <w:r w:rsidR="00564F53">
        <w:rPr>
          <w:rFonts w:ascii="Times New Roman" w:eastAsia="Calibri" w:hAnsi="Times New Roman" w:cs="Times New Roman"/>
          <w:bCs/>
          <w:iCs/>
          <w:sz w:val="24"/>
          <w:szCs w:val="24"/>
        </w:rPr>
        <w:t>at</w:t>
      </w:r>
      <w:r w:rsidR="00564F53" w:rsidRPr="000D62B9">
        <w:rPr>
          <w:rFonts w:ascii="Times New Roman" w:eastAsia="Calibri" w:hAnsi="Times New Roman" w:cs="Times New Roman"/>
          <w:bCs/>
          <w:iCs/>
          <w:sz w:val="24"/>
          <w:szCs w:val="24"/>
        </w:rPr>
        <w:t xml:space="preserve"> 817-818</w:t>
      </w:r>
      <w:r w:rsidR="00564F53">
        <w:rPr>
          <w:rFonts w:ascii="Times New Roman" w:eastAsia="Calibri" w:hAnsi="Times New Roman" w:cs="Times New Roman"/>
          <w:bCs/>
          <w:iCs/>
          <w:sz w:val="24"/>
          <w:szCs w:val="24"/>
        </w:rPr>
        <w:t xml:space="preserve">; </w:t>
      </w:r>
      <w:r w:rsidR="00564F53" w:rsidRPr="00284AC2">
        <w:rPr>
          <w:rFonts w:ascii="Times New Roman" w:hAnsi="Times New Roman" w:cs="Times New Roman"/>
          <w:sz w:val="24"/>
          <w:szCs w:val="24"/>
          <w:u w:val="single"/>
        </w:rPr>
        <w:t>Consorti</w:t>
      </w:r>
      <w:r w:rsidR="00564F53" w:rsidRPr="003D1708">
        <w:rPr>
          <w:rFonts w:ascii="Times New Roman" w:hAnsi="Times New Roman" w:cs="Times New Roman"/>
          <w:sz w:val="24"/>
          <w:szCs w:val="24"/>
        </w:rPr>
        <w:t xml:space="preserve">, 72 F.3d </w:t>
      </w:r>
      <w:r w:rsidR="00564F53">
        <w:rPr>
          <w:rFonts w:ascii="Times New Roman" w:hAnsi="Times New Roman" w:cs="Times New Roman"/>
          <w:sz w:val="24"/>
          <w:szCs w:val="24"/>
        </w:rPr>
        <w:t>at</w:t>
      </w:r>
      <w:r w:rsidR="00564F53" w:rsidRPr="003D1708">
        <w:rPr>
          <w:rFonts w:ascii="Times New Roman" w:hAnsi="Times New Roman" w:cs="Times New Roman"/>
          <w:sz w:val="24"/>
          <w:szCs w:val="24"/>
        </w:rPr>
        <w:t xml:space="preserve"> </w:t>
      </w:r>
      <w:r w:rsidR="00564F53">
        <w:rPr>
          <w:rFonts w:ascii="Times New Roman" w:hAnsi="Times New Roman" w:cs="Times New Roman"/>
          <w:sz w:val="24"/>
          <w:szCs w:val="24"/>
        </w:rPr>
        <w:t xml:space="preserve">1009 fn.2 </w:t>
      </w:r>
      <w:r w:rsidR="00564F53">
        <w:rPr>
          <w:rFonts w:ascii="Times New Roman" w:hAnsi="Times New Roman" w:cs="Times New Roman"/>
          <w:i/>
          <w:iCs/>
          <w:sz w:val="24"/>
          <w:szCs w:val="24"/>
        </w:rPr>
        <w:t>supra</w:t>
      </w:r>
      <w:r w:rsidR="00564F53">
        <w:rPr>
          <w:rFonts w:ascii="Times New Roman" w:eastAsia="Calibri" w:hAnsi="Times New Roman" w:cs="Times New Roman"/>
          <w:bCs/>
          <w:iCs/>
          <w:sz w:val="24"/>
          <w:szCs w:val="24"/>
        </w:rPr>
        <w:t>.</w:t>
      </w:r>
      <w:r w:rsidR="00B52258">
        <w:rPr>
          <w:rFonts w:ascii="Times New Roman" w:eastAsia="Calibri" w:hAnsi="Times New Roman" w:cs="Times New Roman"/>
          <w:bCs/>
          <w:iCs/>
          <w:sz w:val="24"/>
          <w:szCs w:val="24"/>
        </w:rPr>
        <w:t xml:space="preserve"> </w:t>
      </w:r>
    </w:p>
    <w:p w14:paraId="02B02FDE" w14:textId="77777777" w:rsidR="00AA567F" w:rsidRPr="005C7111" w:rsidRDefault="00AA567F" w:rsidP="00A418D6">
      <w:pPr>
        <w:spacing w:after="0" w:line="480" w:lineRule="auto"/>
        <w:jc w:val="center"/>
        <w:rPr>
          <w:rFonts w:ascii="Times New Roman" w:eastAsia="Calibri" w:hAnsi="Times New Roman" w:cs="Times New Roman"/>
          <w:sz w:val="24"/>
          <w:szCs w:val="24"/>
          <w:u w:val="single"/>
        </w:rPr>
      </w:pPr>
      <w:r w:rsidRPr="005C7111">
        <w:rPr>
          <w:rFonts w:ascii="Times New Roman" w:eastAsia="Calibri" w:hAnsi="Times New Roman" w:cs="Times New Roman"/>
          <w:sz w:val="24"/>
          <w:szCs w:val="24"/>
          <w:u w:val="single"/>
        </w:rPr>
        <w:t>CONCLUSION</w:t>
      </w:r>
    </w:p>
    <w:p w14:paraId="470AAB8A" w14:textId="77B0B504" w:rsidR="00AA567F" w:rsidRDefault="00AA567F" w:rsidP="00530C84">
      <w:pPr>
        <w:spacing w:after="0" w:line="480" w:lineRule="auto"/>
        <w:ind w:firstLine="720"/>
        <w:contextualSpacing/>
        <w:jc w:val="both"/>
        <w:rPr>
          <w:rFonts w:ascii="Times New Roman" w:eastAsia="Calibri" w:hAnsi="Times New Roman" w:cs="Times New Roman"/>
          <w:sz w:val="24"/>
          <w:szCs w:val="24"/>
        </w:rPr>
      </w:pPr>
      <w:r w:rsidRPr="005C7111">
        <w:rPr>
          <w:rFonts w:ascii="Times New Roman" w:eastAsia="Calibri" w:hAnsi="Times New Roman" w:cs="Times New Roman"/>
          <w:sz w:val="24"/>
          <w:szCs w:val="24"/>
        </w:rPr>
        <w:t xml:space="preserve">Accordingly, defendants are entitled to an Order precluding improper and irrelevant but highly unfairly prejudicial commentary or questions (1) alluding to defendants’ corporate status, wealth, </w:t>
      </w:r>
      <w:r w:rsidR="00D932DB">
        <w:rPr>
          <w:rFonts w:ascii="Times New Roman" w:eastAsia="Calibri" w:hAnsi="Times New Roman" w:cs="Times New Roman"/>
          <w:sz w:val="24"/>
          <w:szCs w:val="24"/>
        </w:rPr>
        <w:t xml:space="preserve">revenue, </w:t>
      </w:r>
      <w:r w:rsidRPr="005C7111">
        <w:rPr>
          <w:rFonts w:ascii="Times New Roman" w:eastAsia="Calibri" w:hAnsi="Times New Roman" w:cs="Times New Roman"/>
          <w:sz w:val="24"/>
          <w:szCs w:val="24"/>
        </w:rPr>
        <w:t>profits, or insurance, and/or (2) accusing that defendants are seeking a “discount” or being “cheap</w:t>
      </w:r>
      <w:r w:rsidR="00214CE7">
        <w:rPr>
          <w:rFonts w:ascii="Times New Roman" w:eastAsia="Calibri" w:hAnsi="Times New Roman" w:cs="Times New Roman"/>
          <w:sz w:val="24"/>
          <w:szCs w:val="24"/>
        </w:rPr>
        <w:t>,” or “placing profits over safety,” etc</w:t>
      </w:r>
      <w:r w:rsidRPr="005C7111">
        <w:rPr>
          <w:rFonts w:ascii="Times New Roman" w:eastAsia="Calibri" w:hAnsi="Times New Roman" w:cs="Times New Roman"/>
          <w:sz w:val="24"/>
          <w:szCs w:val="24"/>
        </w:rPr>
        <w:t>.</w:t>
      </w:r>
      <w:r w:rsidR="00553CBF">
        <w:rPr>
          <w:rFonts w:ascii="Times New Roman" w:eastAsia="Calibri" w:hAnsi="Times New Roman" w:cs="Times New Roman"/>
          <w:sz w:val="24"/>
          <w:szCs w:val="24"/>
        </w:rPr>
        <w:t xml:space="preserve"> </w:t>
      </w:r>
    </w:p>
    <w:p w14:paraId="736A6018" w14:textId="53DFAD5D" w:rsidR="009A1E0A" w:rsidRPr="00620207" w:rsidRDefault="009A1E0A" w:rsidP="00AA567F">
      <w:pPr>
        <w:spacing w:after="0" w:line="480" w:lineRule="auto"/>
        <w:contextualSpacing/>
        <w:rPr>
          <w:rFonts w:ascii="Times New Roman" w:eastAsia="Calibri" w:hAnsi="Times New Roman" w:cs="Times New Roman"/>
          <w:kern w:val="0"/>
          <w:sz w:val="24"/>
          <w:szCs w:val="24"/>
          <w14:ligatures w14:val="none"/>
        </w:rPr>
      </w:pPr>
      <w:r w:rsidRPr="00620207">
        <w:rPr>
          <w:rFonts w:ascii="Times New Roman" w:eastAsia="Calibri" w:hAnsi="Times New Roman" w:cs="Times New Roman"/>
          <w:kern w:val="0"/>
          <w:sz w:val="24"/>
          <w:szCs w:val="24"/>
          <w14:ligatures w14:val="none"/>
        </w:rPr>
        <w:t>Dated: New York, New York</w:t>
      </w:r>
      <w:r w:rsidRPr="00620207">
        <w:rPr>
          <w:rFonts w:ascii="Times New Roman" w:eastAsia="Calibri" w:hAnsi="Times New Roman" w:cs="Times New Roman"/>
          <w:kern w:val="0"/>
          <w:sz w:val="24"/>
          <w:szCs w:val="24"/>
          <w14:ligatures w14:val="none"/>
        </w:rPr>
        <w:tab/>
      </w:r>
      <w:r w:rsidRPr="00620207">
        <w:rPr>
          <w:rFonts w:ascii="Times New Roman" w:eastAsia="Calibri" w:hAnsi="Times New Roman" w:cs="Times New Roman"/>
          <w:kern w:val="0"/>
          <w:sz w:val="24"/>
          <w:szCs w:val="24"/>
          <w14:ligatures w14:val="none"/>
        </w:rPr>
        <w:tab/>
      </w:r>
      <w:r w:rsidRPr="00620207">
        <w:rPr>
          <w:rFonts w:ascii="Times New Roman" w:eastAsia="Calibri" w:hAnsi="Times New Roman" w:cs="Times New Roman"/>
          <w:kern w:val="0"/>
          <w:sz w:val="24"/>
          <w:szCs w:val="24"/>
          <w14:ligatures w14:val="none"/>
        </w:rPr>
        <w:tab/>
        <w:t>Respectfully submitted,</w:t>
      </w:r>
    </w:p>
    <w:p w14:paraId="52F563A4" w14:textId="0CB42D5E" w:rsidR="009A1E0A" w:rsidRPr="00620207" w:rsidRDefault="009A1E0A" w:rsidP="00B74A9A">
      <w:pPr>
        <w:spacing w:after="0" w:line="480" w:lineRule="auto"/>
        <w:contextualSpacing/>
        <w:rPr>
          <w:rFonts w:ascii="Times New Roman" w:eastAsia="Calibri" w:hAnsi="Times New Roman" w:cs="Times New Roman"/>
          <w:kern w:val="0"/>
          <w:sz w:val="24"/>
          <w:szCs w:val="24"/>
          <w14:ligatures w14:val="none"/>
        </w:rPr>
      </w:pPr>
      <w:r w:rsidRPr="00620207">
        <w:rPr>
          <w:rFonts w:ascii="Times New Roman" w:eastAsia="Calibri" w:hAnsi="Times New Roman" w:cs="Times New Roman"/>
          <w:kern w:val="0"/>
          <w:sz w:val="24"/>
          <w:szCs w:val="24"/>
          <w14:ligatures w14:val="none"/>
        </w:rPr>
        <w:tab/>
      </w:r>
      <w:r w:rsidR="00CD6D22" w:rsidRPr="00D571A0">
        <w:rPr>
          <w:rFonts w:ascii="Times New Roman" w:eastAsia="Calibri" w:hAnsi="Times New Roman" w:cs="Times New Roman"/>
          <w:kern w:val="0"/>
          <w:sz w:val="24"/>
          <w:szCs w:val="24"/>
          <w:highlight w:val="yellow"/>
          <w14:ligatures w14:val="none"/>
        </w:rPr>
        <w:t>DATE</w:t>
      </w:r>
    </w:p>
    <w:p w14:paraId="4B611210" w14:textId="4EFE25C0" w:rsidR="00620207" w:rsidRPr="00620207" w:rsidRDefault="009A1E0A" w:rsidP="00D571A0">
      <w:pPr>
        <w:spacing w:after="0" w:line="480" w:lineRule="auto"/>
        <w:contextualSpacing/>
        <w:rPr>
          <w:rFonts w:ascii="Times New Roman" w:eastAsia="Calibri" w:hAnsi="Times New Roman" w:cs="Times New Roman"/>
          <w:kern w:val="0"/>
          <w:sz w:val="24"/>
          <w:szCs w:val="24"/>
          <w14:ligatures w14:val="none"/>
        </w:rPr>
      </w:pPr>
      <w:r w:rsidRPr="00620207">
        <w:rPr>
          <w:rFonts w:ascii="Times New Roman" w:eastAsia="Calibri" w:hAnsi="Times New Roman" w:cs="Times New Roman"/>
          <w:kern w:val="0"/>
          <w:sz w:val="24"/>
          <w:szCs w:val="24"/>
          <w14:ligatures w14:val="none"/>
        </w:rPr>
        <w:t xml:space="preserve"> </w:t>
      </w:r>
    </w:p>
    <w:p w14:paraId="4E2B41F7" w14:textId="7F63B667" w:rsidR="00620207" w:rsidRPr="00620207" w:rsidRDefault="00620207" w:rsidP="00B74A9A">
      <w:pPr>
        <w:spacing w:after="0" w:line="480" w:lineRule="auto"/>
        <w:rPr>
          <w:rFonts w:ascii="Times New Roman" w:eastAsia="Calibri" w:hAnsi="Times New Roman" w:cs="Times New Roman"/>
          <w:kern w:val="0"/>
          <w:sz w:val="24"/>
          <w:szCs w:val="24"/>
          <w14:ligatures w14:val="none"/>
        </w:rPr>
      </w:pPr>
    </w:p>
    <w:sectPr w:rsidR="00620207" w:rsidRPr="00620207" w:rsidSect="00A131F9">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99CCE" w14:textId="77777777" w:rsidR="00744CE9" w:rsidRDefault="00744CE9" w:rsidP="00F04DC1">
      <w:pPr>
        <w:spacing w:after="0" w:line="240" w:lineRule="auto"/>
      </w:pPr>
      <w:r>
        <w:separator/>
      </w:r>
    </w:p>
  </w:endnote>
  <w:endnote w:type="continuationSeparator" w:id="0">
    <w:p w14:paraId="22CA8ED8" w14:textId="77777777" w:rsidR="00744CE9" w:rsidRDefault="00744CE9" w:rsidP="00F04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47647998"/>
      <w:docPartObj>
        <w:docPartGallery w:val="Page Numbers (Bottom of Page)"/>
        <w:docPartUnique/>
      </w:docPartObj>
    </w:sdtPr>
    <w:sdtEndPr>
      <w:rPr>
        <w:noProof/>
      </w:rPr>
    </w:sdtEndPr>
    <w:sdtContent>
      <w:p w14:paraId="0388AD4D" w14:textId="129CBA96" w:rsidR="00BE739E" w:rsidRPr="00BE739E" w:rsidRDefault="00BE739E">
        <w:pPr>
          <w:pStyle w:val="Footer"/>
          <w:jc w:val="center"/>
          <w:rPr>
            <w:rFonts w:ascii="Times New Roman" w:hAnsi="Times New Roman" w:cs="Times New Roman"/>
            <w:sz w:val="24"/>
            <w:szCs w:val="24"/>
          </w:rPr>
        </w:pPr>
        <w:r w:rsidRPr="00BE739E">
          <w:rPr>
            <w:rFonts w:ascii="Times New Roman" w:hAnsi="Times New Roman" w:cs="Times New Roman"/>
            <w:sz w:val="24"/>
            <w:szCs w:val="24"/>
          </w:rPr>
          <w:fldChar w:fldCharType="begin"/>
        </w:r>
        <w:r w:rsidRPr="00BE739E">
          <w:rPr>
            <w:rFonts w:ascii="Times New Roman" w:hAnsi="Times New Roman" w:cs="Times New Roman"/>
            <w:sz w:val="24"/>
            <w:szCs w:val="24"/>
          </w:rPr>
          <w:instrText xml:space="preserve"> PAGE   \* MERGEFORMAT </w:instrText>
        </w:r>
        <w:r w:rsidRPr="00BE739E">
          <w:rPr>
            <w:rFonts w:ascii="Times New Roman" w:hAnsi="Times New Roman" w:cs="Times New Roman"/>
            <w:sz w:val="24"/>
            <w:szCs w:val="24"/>
          </w:rPr>
          <w:fldChar w:fldCharType="separate"/>
        </w:r>
        <w:r w:rsidRPr="00BE739E">
          <w:rPr>
            <w:rFonts w:ascii="Times New Roman" w:hAnsi="Times New Roman" w:cs="Times New Roman"/>
            <w:noProof/>
            <w:sz w:val="24"/>
            <w:szCs w:val="24"/>
          </w:rPr>
          <w:t>2</w:t>
        </w:r>
        <w:r w:rsidRPr="00BE739E">
          <w:rPr>
            <w:rFonts w:ascii="Times New Roman" w:hAnsi="Times New Roman" w:cs="Times New Roman"/>
            <w:noProof/>
            <w:sz w:val="24"/>
            <w:szCs w:val="24"/>
          </w:rPr>
          <w:fldChar w:fldCharType="end"/>
        </w:r>
      </w:p>
    </w:sdtContent>
  </w:sdt>
  <w:p w14:paraId="30564AC3" w14:textId="77777777" w:rsidR="00BE739E" w:rsidRPr="00BE739E" w:rsidRDefault="00BE739E">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A45C6" w14:textId="77777777" w:rsidR="00744CE9" w:rsidRDefault="00744CE9" w:rsidP="00F04DC1">
      <w:pPr>
        <w:spacing w:after="0" w:line="240" w:lineRule="auto"/>
      </w:pPr>
      <w:r>
        <w:separator/>
      </w:r>
    </w:p>
  </w:footnote>
  <w:footnote w:type="continuationSeparator" w:id="0">
    <w:p w14:paraId="283C91EF" w14:textId="77777777" w:rsidR="00744CE9" w:rsidRDefault="00744CE9" w:rsidP="00F04DC1">
      <w:pPr>
        <w:spacing w:after="0" w:line="240" w:lineRule="auto"/>
      </w:pPr>
      <w:r>
        <w:continuationSeparator/>
      </w:r>
    </w:p>
  </w:footnote>
  <w:footnote w:id="1">
    <w:p w14:paraId="6C6D26B8" w14:textId="77777777" w:rsidR="00A56B55" w:rsidRPr="00327E1D" w:rsidRDefault="00A56B55" w:rsidP="00A56B55">
      <w:pPr>
        <w:contextualSpacing/>
        <w:jc w:val="both"/>
        <w:rPr>
          <w:rFonts w:ascii="Times New Roman" w:eastAsia="Calibri" w:hAnsi="Times New Roman"/>
          <w:bCs/>
          <w:iCs/>
          <w:sz w:val="20"/>
        </w:rPr>
      </w:pPr>
      <w:r w:rsidRPr="00327E1D">
        <w:rPr>
          <w:rStyle w:val="FootnoteReference"/>
          <w:rFonts w:ascii="Times New Roman" w:eastAsiaTheme="majorEastAsia" w:hAnsi="Times New Roman"/>
          <w:sz w:val="20"/>
        </w:rPr>
        <w:footnoteRef/>
      </w:r>
      <w:r w:rsidRPr="00327E1D">
        <w:rPr>
          <w:rFonts w:ascii="Times New Roman" w:hAnsi="Times New Roman"/>
          <w:sz w:val="20"/>
        </w:rPr>
        <w:t xml:space="preserve"> </w:t>
      </w:r>
      <w:r w:rsidRPr="00327E1D">
        <w:rPr>
          <w:rFonts w:ascii="Times New Roman" w:hAnsi="Times New Roman"/>
          <w:sz w:val="20"/>
          <w:u w:val="single"/>
        </w:rPr>
        <w:t>See</w:t>
      </w:r>
      <w:r>
        <w:rPr>
          <w:rFonts w:ascii="Times New Roman" w:hAnsi="Times New Roman"/>
          <w:sz w:val="20"/>
        </w:rPr>
        <w:t xml:space="preserve"> </w:t>
      </w:r>
      <w:r w:rsidRPr="00327E1D">
        <w:rPr>
          <w:rFonts w:ascii="Times New Roman" w:eastAsia="Calibri" w:hAnsi="Times New Roman"/>
          <w:bCs/>
          <w:iCs/>
          <w:sz w:val="20"/>
          <w:u w:val="single"/>
        </w:rPr>
        <w:t>Grogan v. Nizam</w:t>
      </w:r>
      <w:r w:rsidRPr="00327E1D">
        <w:rPr>
          <w:rFonts w:ascii="Times New Roman" w:eastAsia="Calibri" w:hAnsi="Times New Roman"/>
          <w:bCs/>
          <w:iCs/>
          <w:sz w:val="20"/>
        </w:rPr>
        <w:t xml:space="preserve">, 66 A.D.3d 734, 736 (2d </w:t>
      </w:r>
      <w:proofErr w:type="spellStart"/>
      <w:r w:rsidRPr="00327E1D">
        <w:rPr>
          <w:rFonts w:ascii="Times New Roman" w:eastAsia="Calibri" w:hAnsi="Times New Roman"/>
          <w:bCs/>
          <w:iCs/>
          <w:sz w:val="20"/>
        </w:rPr>
        <w:t>Dep’t</w:t>
      </w:r>
      <w:proofErr w:type="spellEnd"/>
      <w:r w:rsidRPr="00327E1D">
        <w:rPr>
          <w:rFonts w:ascii="Times New Roman" w:eastAsia="Calibri" w:hAnsi="Times New Roman"/>
          <w:bCs/>
          <w:iCs/>
          <w:sz w:val="20"/>
        </w:rPr>
        <w:t xml:space="preserve"> 2009); </w:t>
      </w:r>
      <w:proofErr w:type="spellStart"/>
      <w:r w:rsidRPr="00327E1D">
        <w:rPr>
          <w:rFonts w:ascii="Times New Roman" w:eastAsia="Calibri" w:hAnsi="Times New Roman"/>
          <w:bCs/>
          <w:iCs/>
          <w:sz w:val="20"/>
          <w:u w:val="single"/>
        </w:rPr>
        <w:t>Vassura</w:t>
      </w:r>
      <w:proofErr w:type="spellEnd"/>
      <w:r w:rsidRPr="00327E1D">
        <w:rPr>
          <w:rFonts w:ascii="Times New Roman" w:eastAsia="Calibri" w:hAnsi="Times New Roman"/>
          <w:bCs/>
          <w:iCs/>
          <w:sz w:val="20"/>
          <w:u w:val="single"/>
        </w:rPr>
        <w:t xml:space="preserve"> v. Taylor</w:t>
      </w:r>
      <w:r w:rsidRPr="00327E1D">
        <w:rPr>
          <w:rFonts w:ascii="Times New Roman" w:eastAsia="Calibri" w:hAnsi="Times New Roman"/>
          <w:bCs/>
          <w:iCs/>
          <w:sz w:val="20"/>
        </w:rPr>
        <w:t xml:space="preserve">, 117 A.D.2d 798, 799 (2d </w:t>
      </w:r>
      <w:proofErr w:type="spellStart"/>
      <w:r w:rsidRPr="00327E1D">
        <w:rPr>
          <w:rFonts w:ascii="Times New Roman" w:eastAsia="Calibri" w:hAnsi="Times New Roman"/>
          <w:bCs/>
          <w:iCs/>
          <w:sz w:val="20"/>
        </w:rPr>
        <w:t>Dep’t</w:t>
      </w:r>
      <w:proofErr w:type="spellEnd"/>
      <w:r w:rsidRPr="00327E1D">
        <w:rPr>
          <w:rFonts w:ascii="Times New Roman" w:eastAsia="Calibri" w:hAnsi="Times New Roman"/>
          <w:bCs/>
          <w:iCs/>
          <w:sz w:val="20"/>
        </w:rPr>
        <w:t xml:space="preserve"> 1986), </w:t>
      </w:r>
      <w:r w:rsidRPr="00327E1D">
        <w:rPr>
          <w:rFonts w:ascii="Times New Roman" w:eastAsia="Calibri" w:hAnsi="Times New Roman"/>
          <w:bCs/>
          <w:iCs/>
          <w:sz w:val="20"/>
          <w:u w:val="single"/>
        </w:rPr>
        <w:t>appeal</w:t>
      </w:r>
      <w:r w:rsidRPr="00327E1D">
        <w:rPr>
          <w:rFonts w:ascii="Times New Roman" w:eastAsia="Calibri" w:hAnsi="Times New Roman"/>
          <w:bCs/>
          <w:iCs/>
          <w:sz w:val="20"/>
        </w:rPr>
        <w:t xml:space="preserve"> </w:t>
      </w:r>
      <w:r w:rsidRPr="00327E1D">
        <w:rPr>
          <w:rFonts w:ascii="Times New Roman" w:eastAsia="Calibri" w:hAnsi="Times New Roman"/>
          <w:bCs/>
          <w:iCs/>
          <w:sz w:val="20"/>
          <w:u w:val="single"/>
        </w:rPr>
        <w:t>dismissed</w:t>
      </w:r>
      <w:r w:rsidRPr="00327E1D">
        <w:rPr>
          <w:rFonts w:ascii="Times New Roman" w:eastAsia="Calibri" w:hAnsi="Times New Roman"/>
          <w:bCs/>
          <w:iCs/>
          <w:sz w:val="20"/>
        </w:rPr>
        <w:t xml:space="preserve"> 68 N.Y.2d 643 (1986) (it is “extremely prejudicial” to make reference to what is “in the other fellow’s pocket”); </w:t>
      </w:r>
      <w:r w:rsidRPr="00327E1D">
        <w:rPr>
          <w:rFonts w:ascii="Times New Roman" w:eastAsia="Calibri" w:hAnsi="Times New Roman"/>
          <w:bCs/>
          <w:iCs/>
          <w:sz w:val="20"/>
          <w:u w:val="single"/>
        </w:rPr>
        <w:t>Nicholas v. Island Industrial Park of Patchogue, Inc</w:t>
      </w:r>
      <w:r w:rsidRPr="00327E1D">
        <w:rPr>
          <w:rFonts w:ascii="Times New Roman" w:eastAsia="Calibri" w:hAnsi="Times New Roman"/>
          <w:bCs/>
          <w:iCs/>
          <w:sz w:val="20"/>
        </w:rPr>
        <w:t xml:space="preserve">., 46 A.D.2d 804, 804 (2d </w:t>
      </w:r>
      <w:proofErr w:type="spellStart"/>
      <w:r w:rsidRPr="00327E1D">
        <w:rPr>
          <w:rFonts w:ascii="Times New Roman" w:eastAsia="Calibri" w:hAnsi="Times New Roman"/>
          <w:bCs/>
          <w:iCs/>
          <w:sz w:val="20"/>
        </w:rPr>
        <w:t>Dep’t</w:t>
      </w:r>
      <w:proofErr w:type="spellEnd"/>
      <w:r w:rsidRPr="00327E1D">
        <w:rPr>
          <w:rFonts w:ascii="Times New Roman" w:eastAsia="Calibri" w:hAnsi="Times New Roman"/>
          <w:bCs/>
          <w:iCs/>
          <w:sz w:val="20"/>
        </w:rPr>
        <w:t xml:space="preserve"> 1974) (“Allusion to a defendant’s ability to pay damages is improper”); </w:t>
      </w:r>
      <w:r w:rsidRPr="00327E1D">
        <w:rPr>
          <w:rFonts w:ascii="Times New Roman" w:eastAsia="Calibri" w:hAnsi="Times New Roman"/>
          <w:bCs/>
          <w:iCs/>
          <w:sz w:val="20"/>
          <w:u w:val="single"/>
        </w:rPr>
        <w:t>Johnson v. Lazarowitz</w:t>
      </w:r>
      <w:r w:rsidRPr="00327E1D">
        <w:rPr>
          <w:rFonts w:ascii="Times New Roman" w:eastAsia="Calibri" w:hAnsi="Times New Roman"/>
          <w:bCs/>
          <w:iCs/>
          <w:sz w:val="20"/>
        </w:rPr>
        <w:t xml:space="preserve">, 4 A.D.3d 334, 336 (2d </w:t>
      </w:r>
      <w:proofErr w:type="spellStart"/>
      <w:r w:rsidRPr="00327E1D">
        <w:rPr>
          <w:rFonts w:ascii="Times New Roman" w:eastAsia="Calibri" w:hAnsi="Times New Roman"/>
          <w:bCs/>
          <w:iCs/>
          <w:sz w:val="20"/>
        </w:rPr>
        <w:t>Dep’t</w:t>
      </w:r>
      <w:proofErr w:type="spellEnd"/>
      <w:r w:rsidRPr="00327E1D">
        <w:rPr>
          <w:rFonts w:ascii="Times New Roman" w:eastAsia="Calibri" w:hAnsi="Times New Roman"/>
          <w:bCs/>
          <w:iCs/>
          <w:sz w:val="20"/>
        </w:rPr>
        <w:t xml:space="preserve"> 2004) (“new trial on the issue of damages is also warranted because the attorney for the plaintiff improperly referred to the existence of the defendants’ liability insurance coverage”); </w:t>
      </w:r>
      <w:r w:rsidRPr="00327E1D">
        <w:rPr>
          <w:rFonts w:ascii="Times New Roman" w:eastAsia="Calibri" w:hAnsi="Times New Roman"/>
          <w:bCs/>
          <w:iCs/>
          <w:sz w:val="20"/>
          <w:u w:val="single"/>
        </w:rPr>
        <w:t>Constable v. Matie</w:t>
      </w:r>
      <w:r w:rsidRPr="00327E1D">
        <w:rPr>
          <w:rFonts w:ascii="Times New Roman" w:eastAsia="Calibri" w:hAnsi="Times New Roman"/>
          <w:bCs/>
          <w:iCs/>
          <w:sz w:val="20"/>
        </w:rPr>
        <w:t xml:space="preserve">, 199 A.D.2d 1004, 1005 (4th </w:t>
      </w:r>
      <w:proofErr w:type="spellStart"/>
      <w:r w:rsidRPr="00327E1D">
        <w:rPr>
          <w:rFonts w:ascii="Times New Roman" w:eastAsia="Calibri" w:hAnsi="Times New Roman"/>
          <w:bCs/>
          <w:iCs/>
          <w:sz w:val="20"/>
        </w:rPr>
        <w:t>Dep’t</w:t>
      </w:r>
      <w:proofErr w:type="spellEnd"/>
      <w:r w:rsidRPr="00327E1D">
        <w:rPr>
          <w:rFonts w:ascii="Times New Roman" w:eastAsia="Calibri" w:hAnsi="Times New Roman"/>
          <w:bCs/>
          <w:iCs/>
          <w:sz w:val="20"/>
        </w:rPr>
        <w:t xml:space="preserve"> 1993); Richardson, Evidence § 4-614 [Prince 11th ed.]; NY PJI 2:280 and annotations; </w:t>
      </w:r>
      <w:r w:rsidRPr="00327E1D">
        <w:rPr>
          <w:rFonts w:ascii="Times New Roman" w:eastAsia="Calibri" w:hAnsi="Times New Roman"/>
          <w:bCs/>
          <w:iCs/>
          <w:sz w:val="20"/>
          <w:u w:val="single"/>
        </w:rPr>
        <w:t>Adams v. Acker</w:t>
      </w:r>
      <w:r w:rsidRPr="00327E1D">
        <w:rPr>
          <w:rFonts w:ascii="Times New Roman" w:eastAsia="Calibri" w:hAnsi="Times New Roman"/>
          <w:bCs/>
          <w:iCs/>
          <w:sz w:val="20"/>
        </w:rPr>
        <w:t xml:space="preserve">, 57 A.D.2d 741 (1st </w:t>
      </w:r>
      <w:proofErr w:type="spellStart"/>
      <w:r w:rsidRPr="00327E1D">
        <w:rPr>
          <w:rFonts w:ascii="Times New Roman" w:eastAsia="Calibri" w:hAnsi="Times New Roman"/>
          <w:bCs/>
          <w:iCs/>
          <w:sz w:val="20"/>
        </w:rPr>
        <w:t>Dep’t</w:t>
      </w:r>
      <w:proofErr w:type="spellEnd"/>
      <w:r w:rsidRPr="00327E1D">
        <w:rPr>
          <w:rFonts w:ascii="Times New Roman" w:eastAsia="Calibri" w:hAnsi="Times New Roman"/>
          <w:bCs/>
          <w:iCs/>
          <w:sz w:val="20"/>
        </w:rPr>
        <w:t xml:space="preserve"> 1977); </w:t>
      </w:r>
      <w:r w:rsidRPr="00327E1D">
        <w:rPr>
          <w:rFonts w:ascii="Times New Roman" w:eastAsia="Calibri" w:hAnsi="Times New Roman"/>
          <w:bCs/>
          <w:iCs/>
          <w:sz w:val="20"/>
          <w:u w:val="single"/>
        </w:rPr>
        <w:t>Laughing v. Utica Steam Engine and Boiler Works</w:t>
      </w:r>
      <w:r w:rsidRPr="00327E1D">
        <w:rPr>
          <w:rFonts w:ascii="Times New Roman" w:eastAsia="Calibri" w:hAnsi="Times New Roman"/>
          <w:bCs/>
          <w:iCs/>
          <w:sz w:val="20"/>
        </w:rPr>
        <w:t xml:space="preserve">, 16 A.D.2d 294 (4th </w:t>
      </w:r>
      <w:proofErr w:type="spellStart"/>
      <w:r w:rsidRPr="00327E1D">
        <w:rPr>
          <w:rFonts w:ascii="Times New Roman" w:eastAsia="Calibri" w:hAnsi="Times New Roman"/>
          <w:bCs/>
          <w:iCs/>
          <w:sz w:val="20"/>
        </w:rPr>
        <w:t>Dep’t</w:t>
      </w:r>
      <w:proofErr w:type="spellEnd"/>
      <w:r w:rsidRPr="00327E1D">
        <w:rPr>
          <w:rFonts w:ascii="Times New Roman" w:eastAsia="Calibri" w:hAnsi="Times New Roman"/>
          <w:bCs/>
          <w:iCs/>
          <w:sz w:val="20"/>
        </w:rPr>
        <w:t xml:space="preserve"> 1962); Annot: 32 ALR2d 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8445D"/>
    <w:multiLevelType w:val="hybridMultilevel"/>
    <w:tmpl w:val="FD6CB3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6C6D52"/>
    <w:multiLevelType w:val="hybridMultilevel"/>
    <w:tmpl w:val="76BA4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A74A94"/>
    <w:multiLevelType w:val="hybridMultilevel"/>
    <w:tmpl w:val="10F4D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95A4DB6"/>
    <w:multiLevelType w:val="hybridMultilevel"/>
    <w:tmpl w:val="883E170E"/>
    <w:lvl w:ilvl="0" w:tplc="F0CAFAB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1697822">
    <w:abstractNumId w:val="2"/>
  </w:num>
  <w:num w:numId="2" w16cid:durableId="344286652">
    <w:abstractNumId w:val="1"/>
  </w:num>
  <w:num w:numId="3" w16cid:durableId="694844409">
    <w:abstractNumId w:val="0"/>
  </w:num>
  <w:num w:numId="4" w16cid:durableId="12516248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DC1"/>
    <w:rsid w:val="00001A13"/>
    <w:rsid w:val="000030AF"/>
    <w:rsid w:val="000058ED"/>
    <w:rsid w:val="00011A78"/>
    <w:rsid w:val="0002272D"/>
    <w:rsid w:val="00023E72"/>
    <w:rsid w:val="00032D43"/>
    <w:rsid w:val="00042C01"/>
    <w:rsid w:val="0004518F"/>
    <w:rsid w:val="0005354D"/>
    <w:rsid w:val="00054C50"/>
    <w:rsid w:val="000732AC"/>
    <w:rsid w:val="00080AE9"/>
    <w:rsid w:val="000859C7"/>
    <w:rsid w:val="00087BD5"/>
    <w:rsid w:val="00094139"/>
    <w:rsid w:val="000C2E8B"/>
    <w:rsid w:val="000C421A"/>
    <w:rsid w:val="000C75B4"/>
    <w:rsid w:val="000D0521"/>
    <w:rsid w:val="000D56AA"/>
    <w:rsid w:val="000D62B9"/>
    <w:rsid w:val="000E01E0"/>
    <w:rsid w:val="000E4923"/>
    <w:rsid w:val="000F60AD"/>
    <w:rsid w:val="00103A3C"/>
    <w:rsid w:val="001115FB"/>
    <w:rsid w:val="001213F1"/>
    <w:rsid w:val="00123647"/>
    <w:rsid w:val="00125AC0"/>
    <w:rsid w:val="001353AB"/>
    <w:rsid w:val="001363E3"/>
    <w:rsid w:val="001543EE"/>
    <w:rsid w:val="001556E5"/>
    <w:rsid w:val="0015579E"/>
    <w:rsid w:val="00157C50"/>
    <w:rsid w:val="00157E64"/>
    <w:rsid w:val="0016431F"/>
    <w:rsid w:val="001643A7"/>
    <w:rsid w:val="00170EA0"/>
    <w:rsid w:val="00170F28"/>
    <w:rsid w:val="00170FFB"/>
    <w:rsid w:val="00173D47"/>
    <w:rsid w:val="00174486"/>
    <w:rsid w:val="001903A4"/>
    <w:rsid w:val="001A04CB"/>
    <w:rsid w:val="001B03CC"/>
    <w:rsid w:val="001B2A12"/>
    <w:rsid w:val="001B7416"/>
    <w:rsid w:val="001C6200"/>
    <w:rsid w:val="001D6665"/>
    <w:rsid w:val="001E3B51"/>
    <w:rsid w:val="001E7731"/>
    <w:rsid w:val="002018E7"/>
    <w:rsid w:val="00201F16"/>
    <w:rsid w:val="0020544E"/>
    <w:rsid w:val="002116DF"/>
    <w:rsid w:val="002128D5"/>
    <w:rsid w:val="00214CE7"/>
    <w:rsid w:val="0021518C"/>
    <w:rsid w:val="00216C68"/>
    <w:rsid w:val="002255F7"/>
    <w:rsid w:val="00233420"/>
    <w:rsid w:val="00240130"/>
    <w:rsid w:val="002404FB"/>
    <w:rsid w:val="002447E7"/>
    <w:rsid w:val="00246398"/>
    <w:rsid w:val="00252ACF"/>
    <w:rsid w:val="00253C3B"/>
    <w:rsid w:val="002659CB"/>
    <w:rsid w:val="00273519"/>
    <w:rsid w:val="00276371"/>
    <w:rsid w:val="00284AC2"/>
    <w:rsid w:val="00284B0C"/>
    <w:rsid w:val="0029047A"/>
    <w:rsid w:val="00295435"/>
    <w:rsid w:val="00297030"/>
    <w:rsid w:val="002A4470"/>
    <w:rsid w:val="002A489B"/>
    <w:rsid w:val="002C03DB"/>
    <w:rsid w:val="002C1D7E"/>
    <w:rsid w:val="002C3539"/>
    <w:rsid w:val="002C6C50"/>
    <w:rsid w:val="002C7BEC"/>
    <w:rsid w:val="002D1720"/>
    <w:rsid w:val="002D19A9"/>
    <w:rsid w:val="002D7982"/>
    <w:rsid w:val="002F358B"/>
    <w:rsid w:val="002F36A1"/>
    <w:rsid w:val="002F6F01"/>
    <w:rsid w:val="00301983"/>
    <w:rsid w:val="003037E5"/>
    <w:rsid w:val="00307256"/>
    <w:rsid w:val="003074F2"/>
    <w:rsid w:val="00341AE0"/>
    <w:rsid w:val="003511B7"/>
    <w:rsid w:val="00355CCB"/>
    <w:rsid w:val="0036628E"/>
    <w:rsid w:val="00372A3D"/>
    <w:rsid w:val="0037611C"/>
    <w:rsid w:val="003861A6"/>
    <w:rsid w:val="00386FF9"/>
    <w:rsid w:val="003919A7"/>
    <w:rsid w:val="00392456"/>
    <w:rsid w:val="003A5EE3"/>
    <w:rsid w:val="003B2F90"/>
    <w:rsid w:val="003B4F3B"/>
    <w:rsid w:val="003C1D65"/>
    <w:rsid w:val="003D1708"/>
    <w:rsid w:val="003D2DA0"/>
    <w:rsid w:val="003D6930"/>
    <w:rsid w:val="003E1018"/>
    <w:rsid w:val="003E152C"/>
    <w:rsid w:val="003E221C"/>
    <w:rsid w:val="003E3CAF"/>
    <w:rsid w:val="003E4F92"/>
    <w:rsid w:val="003F440C"/>
    <w:rsid w:val="003F4E29"/>
    <w:rsid w:val="004002A2"/>
    <w:rsid w:val="0040138F"/>
    <w:rsid w:val="00403AC3"/>
    <w:rsid w:val="00407C07"/>
    <w:rsid w:val="0041159E"/>
    <w:rsid w:val="00412747"/>
    <w:rsid w:val="004174E1"/>
    <w:rsid w:val="00431DC6"/>
    <w:rsid w:val="00431F04"/>
    <w:rsid w:val="00434B27"/>
    <w:rsid w:val="0043641C"/>
    <w:rsid w:val="00442C62"/>
    <w:rsid w:val="00445444"/>
    <w:rsid w:val="004463A2"/>
    <w:rsid w:val="004509DB"/>
    <w:rsid w:val="00452EB9"/>
    <w:rsid w:val="00460735"/>
    <w:rsid w:val="00463A07"/>
    <w:rsid w:val="00464BFC"/>
    <w:rsid w:val="00465297"/>
    <w:rsid w:val="0046702A"/>
    <w:rsid w:val="00472889"/>
    <w:rsid w:val="004736B8"/>
    <w:rsid w:val="004759A4"/>
    <w:rsid w:val="00483098"/>
    <w:rsid w:val="004840CE"/>
    <w:rsid w:val="00484148"/>
    <w:rsid w:val="0049060B"/>
    <w:rsid w:val="004A0AE8"/>
    <w:rsid w:val="004A27E9"/>
    <w:rsid w:val="004A6D77"/>
    <w:rsid w:val="004B7F0A"/>
    <w:rsid w:val="004C0379"/>
    <w:rsid w:val="004C2288"/>
    <w:rsid w:val="004C29C4"/>
    <w:rsid w:val="004C5E29"/>
    <w:rsid w:val="004D1A87"/>
    <w:rsid w:val="004F238E"/>
    <w:rsid w:val="00502B49"/>
    <w:rsid w:val="0050490C"/>
    <w:rsid w:val="00506D70"/>
    <w:rsid w:val="00510E9E"/>
    <w:rsid w:val="0052000A"/>
    <w:rsid w:val="00521603"/>
    <w:rsid w:val="0052676B"/>
    <w:rsid w:val="0052730E"/>
    <w:rsid w:val="00530C84"/>
    <w:rsid w:val="00531963"/>
    <w:rsid w:val="005322E4"/>
    <w:rsid w:val="005402E4"/>
    <w:rsid w:val="00540668"/>
    <w:rsid w:val="00546743"/>
    <w:rsid w:val="00546E37"/>
    <w:rsid w:val="005503BD"/>
    <w:rsid w:val="0055358B"/>
    <w:rsid w:val="00553CBF"/>
    <w:rsid w:val="00554515"/>
    <w:rsid w:val="005553C2"/>
    <w:rsid w:val="0056227A"/>
    <w:rsid w:val="00564F53"/>
    <w:rsid w:val="0056774E"/>
    <w:rsid w:val="00576D3B"/>
    <w:rsid w:val="00581285"/>
    <w:rsid w:val="0059619F"/>
    <w:rsid w:val="0059709B"/>
    <w:rsid w:val="005B2C40"/>
    <w:rsid w:val="005B53B4"/>
    <w:rsid w:val="005B69F4"/>
    <w:rsid w:val="005C145C"/>
    <w:rsid w:val="005C7111"/>
    <w:rsid w:val="005D558D"/>
    <w:rsid w:val="005E6319"/>
    <w:rsid w:val="005F3FA2"/>
    <w:rsid w:val="0060247B"/>
    <w:rsid w:val="006040B1"/>
    <w:rsid w:val="00605711"/>
    <w:rsid w:val="00607610"/>
    <w:rsid w:val="00620207"/>
    <w:rsid w:val="00623FBD"/>
    <w:rsid w:val="006250FA"/>
    <w:rsid w:val="006279BB"/>
    <w:rsid w:val="0063395A"/>
    <w:rsid w:val="006372C5"/>
    <w:rsid w:val="00641C7E"/>
    <w:rsid w:val="00647B05"/>
    <w:rsid w:val="006656AB"/>
    <w:rsid w:val="006706C8"/>
    <w:rsid w:val="00671864"/>
    <w:rsid w:val="006808C3"/>
    <w:rsid w:val="00695827"/>
    <w:rsid w:val="006A2F38"/>
    <w:rsid w:val="006A5D93"/>
    <w:rsid w:val="006B3CEA"/>
    <w:rsid w:val="006B73E5"/>
    <w:rsid w:val="006D4E39"/>
    <w:rsid w:val="006D59AB"/>
    <w:rsid w:val="006E1C62"/>
    <w:rsid w:val="006F028C"/>
    <w:rsid w:val="006F3739"/>
    <w:rsid w:val="006F3B18"/>
    <w:rsid w:val="007003E8"/>
    <w:rsid w:val="007045B4"/>
    <w:rsid w:val="00712126"/>
    <w:rsid w:val="00712F96"/>
    <w:rsid w:val="00731C19"/>
    <w:rsid w:val="00736B38"/>
    <w:rsid w:val="0074108C"/>
    <w:rsid w:val="00744CE9"/>
    <w:rsid w:val="007457A4"/>
    <w:rsid w:val="00756B95"/>
    <w:rsid w:val="00760F5B"/>
    <w:rsid w:val="007637D2"/>
    <w:rsid w:val="0077017D"/>
    <w:rsid w:val="00782E8E"/>
    <w:rsid w:val="00784B1E"/>
    <w:rsid w:val="007A0B84"/>
    <w:rsid w:val="007A7028"/>
    <w:rsid w:val="007B2E33"/>
    <w:rsid w:val="007B5C23"/>
    <w:rsid w:val="007B6857"/>
    <w:rsid w:val="007C2A4F"/>
    <w:rsid w:val="007C3A1A"/>
    <w:rsid w:val="007D3E87"/>
    <w:rsid w:val="007D5DF9"/>
    <w:rsid w:val="0080062F"/>
    <w:rsid w:val="00803D83"/>
    <w:rsid w:val="008067BA"/>
    <w:rsid w:val="008068E8"/>
    <w:rsid w:val="008075A2"/>
    <w:rsid w:val="00807BAB"/>
    <w:rsid w:val="0081273C"/>
    <w:rsid w:val="00812CCD"/>
    <w:rsid w:val="0082098F"/>
    <w:rsid w:val="00822F18"/>
    <w:rsid w:val="00827125"/>
    <w:rsid w:val="00832D81"/>
    <w:rsid w:val="0083384A"/>
    <w:rsid w:val="008346B4"/>
    <w:rsid w:val="00836AAE"/>
    <w:rsid w:val="008411A0"/>
    <w:rsid w:val="00845AD1"/>
    <w:rsid w:val="0085215F"/>
    <w:rsid w:val="008570B8"/>
    <w:rsid w:val="00861226"/>
    <w:rsid w:val="00870342"/>
    <w:rsid w:val="00873AFC"/>
    <w:rsid w:val="00873BDB"/>
    <w:rsid w:val="00877FBB"/>
    <w:rsid w:val="008803EF"/>
    <w:rsid w:val="00887EC2"/>
    <w:rsid w:val="008A369E"/>
    <w:rsid w:val="008A3FE2"/>
    <w:rsid w:val="008D0625"/>
    <w:rsid w:val="008D5ED5"/>
    <w:rsid w:val="008F38D4"/>
    <w:rsid w:val="008F4244"/>
    <w:rsid w:val="008F4D51"/>
    <w:rsid w:val="009041DB"/>
    <w:rsid w:val="0090731E"/>
    <w:rsid w:val="009100C1"/>
    <w:rsid w:val="00916129"/>
    <w:rsid w:val="00916389"/>
    <w:rsid w:val="00921410"/>
    <w:rsid w:val="00932C8D"/>
    <w:rsid w:val="00936976"/>
    <w:rsid w:val="00940129"/>
    <w:rsid w:val="00941D50"/>
    <w:rsid w:val="009426F9"/>
    <w:rsid w:val="00952120"/>
    <w:rsid w:val="009556FF"/>
    <w:rsid w:val="00957804"/>
    <w:rsid w:val="009630B9"/>
    <w:rsid w:val="00963CB1"/>
    <w:rsid w:val="00964C09"/>
    <w:rsid w:val="00966C3A"/>
    <w:rsid w:val="00971F96"/>
    <w:rsid w:val="00973D1D"/>
    <w:rsid w:val="00982BCD"/>
    <w:rsid w:val="009861D0"/>
    <w:rsid w:val="00987CBA"/>
    <w:rsid w:val="009918E8"/>
    <w:rsid w:val="00991DEB"/>
    <w:rsid w:val="00992B8D"/>
    <w:rsid w:val="009934E6"/>
    <w:rsid w:val="009937BC"/>
    <w:rsid w:val="009A05AE"/>
    <w:rsid w:val="009A0DB8"/>
    <w:rsid w:val="009A12D7"/>
    <w:rsid w:val="009A1E0A"/>
    <w:rsid w:val="009A310E"/>
    <w:rsid w:val="009A7D60"/>
    <w:rsid w:val="009B1D70"/>
    <w:rsid w:val="009C222B"/>
    <w:rsid w:val="009C7DD3"/>
    <w:rsid w:val="009D3A08"/>
    <w:rsid w:val="009D48D9"/>
    <w:rsid w:val="009D5621"/>
    <w:rsid w:val="009E2875"/>
    <w:rsid w:val="009E48CA"/>
    <w:rsid w:val="009E7D72"/>
    <w:rsid w:val="009F269B"/>
    <w:rsid w:val="009F77E1"/>
    <w:rsid w:val="00A0269A"/>
    <w:rsid w:val="00A04581"/>
    <w:rsid w:val="00A069EB"/>
    <w:rsid w:val="00A0731F"/>
    <w:rsid w:val="00A131F9"/>
    <w:rsid w:val="00A14BC6"/>
    <w:rsid w:val="00A15E06"/>
    <w:rsid w:val="00A25845"/>
    <w:rsid w:val="00A2735E"/>
    <w:rsid w:val="00A32569"/>
    <w:rsid w:val="00A40A1A"/>
    <w:rsid w:val="00A418D6"/>
    <w:rsid w:val="00A50669"/>
    <w:rsid w:val="00A50E0F"/>
    <w:rsid w:val="00A51259"/>
    <w:rsid w:val="00A51E07"/>
    <w:rsid w:val="00A52F6A"/>
    <w:rsid w:val="00A55F3F"/>
    <w:rsid w:val="00A56705"/>
    <w:rsid w:val="00A56B55"/>
    <w:rsid w:val="00A631E2"/>
    <w:rsid w:val="00A64CE6"/>
    <w:rsid w:val="00A70148"/>
    <w:rsid w:val="00A7104D"/>
    <w:rsid w:val="00A72C52"/>
    <w:rsid w:val="00A7427F"/>
    <w:rsid w:val="00A7676C"/>
    <w:rsid w:val="00A7691E"/>
    <w:rsid w:val="00A81043"/>
    <w:rsid w:val="00A92F12"/>
    <w:rsid w:val="00AA06DC"/>
    <w:rsid w:val="00AA567F"/>
    <w:rsid w:val="00AB0B06"/>
    <w:rsid w:val="00AB7417"/>
    <w:rsid w:val="00AC1EB0"/>
    <w:rsid w:val="00AE0DFC"/>
    <w:rsid w:val="00AE6512"/>
    <w:rsid w:val="00AE79A2"/>
    <w:rsid w:val="00AF0A70"/>
    <w:rsid w:val="00AF5F8E"/>
    <w:rsid w:val="00B07EE9"/>
    <w:rsid w:val="00B11488"/>
    <w:rsid w:val="00B220D6"/>
    <w:rsid w:val="00B30D3B"/>
    <w:rsid w:val="00B37F5B"/>
    <w:rsid w:val="00B52258"/>
    <w:rsid w:val="00B74A9A"/>
    <w:rsid w:val="00B74B72"/>
    <w:rsid w:val="00B753D5"/>
    <w:rsid w:val="00B8041B"/>
    <w:rsid w:val="00B830FE"/>
    <w:rsid w:val="00B91892"/>
    <w:rsid w:val="00B91E54"/>
    <w:rsid w:val="00B93EFD"/>
    <w:rsid w:val="00B953B1"/>
    <w:rsid w:val="00BA26BE"/>
    <w:rsid w:val="00BA28E1"/>
    <w:rsid w:val="00BA477F"/>
    <w:rsid w:val="00BA5343"/>
    <w:rsid w:val="00BB2C9D"/>
    <w:rsid w:val="00BB7226"/>
    <w:rsid w:val="00BC0F6D"/>
    <w:rsid w:val="00BC5305"/>
    <w:rsid w:val="00BC7057"/>
    <w:rsid w:val="00BE0208"/>
    <w:rsid w:val="00BE6CA9"/>
    <w:rsid w:val="00BE739E"/>
    <w:rsid w:val="00BF0B5D"/>
    <w:rsid w:val="00C1076B"/>
    <w:rsid w:val="00C227E8"/>
    <w:rsid w:val="00C26517"/>
    <w:rsid w:val="00C277C3"/>
    <w:rsid w:val="00C27E3B"/>
    <w:rsid w:val="00C32ACF"/>
    <w:rsid w:val="00C419CF"/>
    <w:rsid w:val="00C4228C"/>
    <w:rsid w:val="00C4429F"/>
    <w:rsid w:val="00C51CFC"/>
    <w:rsid w:val="00C51E80"/>
    <w:rsid w:val="00C60492"/>
    <w:rsid w:val="00C70A98"/>
    <w:rsid w:val="00C749AC"/>
    <w:rsid w:val="00C82697"/>
    <w:rsid w:val="00C92272"/>
    <w:rsid w:val="00C9263A"/>
    <w:rsid w:val="00C94BC8"/>
    <w:rsid w:val="00CD1B6C"/>
    <w:rsid w:val="00CD5474"/>
    <w:rsid w:val="00CD6D22"/>
    <w:rsid w:val="00CD727A"/>
    <w:rsid w:val="00CE0C66"/>
    <w:rsid w:val="00CE1010"/>
    <w:rsid w:val="00CE4F8E"/>
    <w:rsid w:val="00CE5AE6"/>
    <w:rsid w:val="00CF0955"/>
    <w:rsid w:val="00CF2C27"/>
    <w:rsid w:val="00CF73B2"/>
    <w:rsid w:val="00D0110D"/>
    <w:rsid w:val="00D01AAB"/>
    <w:rsid w:val="00D02698"/>
    <w:rsid w:val="00D1321A"/>
    <w:rsid w:val="00D17C52"/>
    <w:rsid w:val="00D221FC"/>
    <w:rsid w:val="00D363E2"/>
    <w:rsid w:val="00D406DC"/>
    <w:rsid w:val="00D43D11"/>
    <w:rsid w:val="00D46294"/>
    <w:rsid w:val="00D571A0"/>
    <w:rsid w:val="00D63057"/>
    <w:rsid w:val="00D643F8"/>
    <w:rsid w:val="00D66F1C"/>
    <w:rsid w:val="00D70AF0"/>
    <w:rsid w:val="00D80842"/>
    <w:rsid w:val="00D80B97"/>
    <w:rsid w:val="00D81E3C"/>
    <w:rsid w:val="00D851C7"/>
    <w:rsid w:val="00D85C06"/>
    <w:rsid w:val="00D90F7C"/>
    <w:rsid w:val="00D932DB"/>
    <w:rsid w:val="00D966F2"/>
    <w:rsid w:val="00DA0880"/>
    <w:rsid w:val="00DA1EC7"/>
    <w:rsid w:val="00DA3E33"/>
    <w:rsid w:val="00DA4179"/>
    <w:rsid w:val="00DA7A5E"/>
    <w:rsid w:val="00DB5370"/>
    <w:rsid w:val="00DC01E7"/>
    <w:rsid w:val="00DC315E"/>
    <w:rsid w:val="00DC699E"/>
    <w:rsid w:val="00DD67DA"/>
    <w:rsid w:val="00DD77AF"/>
    <w:rsid w:val="00DE0931"/>
    <w:rsid w:val="00DE1891"/>
    <w:rsid w:val="00DF39AD"/>
    <w:rsid w:val="00DF5BF3"/>
    <w:rsid w:val="00E0452C"/>
    <w:rsid w:val="00E04B7A"/>
    <w:rsid w:val="00E069A4"/>
    <w:rsid w:val="00E10F7F"/>
    <w:rsid w:val="00E144DC"/>
    <w:rsid w:val="00E160C6"/>
    <w:rsid w:val="00E16D90"/>
    <w:rsid w:val="00E17236"/>
    <w:rsid w:val="00E31846"/>
    <w:rsid w:val="00E33C43"/>
    <w:rsid w:val="00E57433"/>
    <w:rsid w:val="00E67D35"/>
    <w:rsid w:val="00E72288"/>
    <w:rsid w:val="00E73D5B"/>
    <w:rsid w:val="00E76C48"/>
    <w:rsid w:val="00E960DF"/>
    <w:rsid w:val="00EA2094"/>
    <w:rsid w:val="00EA2BF7"/>
    <w:rsid w:val="00EB0259"/>
    <w:rsid w:val="00EB0C88"/>
    <w:rsid w:val="00EB0E02"/>
    <w:rsid w:val="00EC1073"/>
    <w:rsid w:val="00EE60CE"/>
    <w:rsid w:val="00EE79D2"/>
    <w:rsid w:val="00F003CF"/>
    <w:rsid w:val="00F04DC1"/>
    <w:rsid w:val="00F07036"/>
    <w:rsid w:val="00F07552"/>
    <w:rsid w:val="00F22202"/>
    <w:rsid w:val="00F25376"/>
    <w:rsid w:val="00F263AD"/>
    <w:rsid w:val="00F27597"/>
    <w:rsid w:val="00F312D6"/>
    <w:rsid w:val="00F33E5D"/>
    <w:rsid w:val="00F47390"/>
    <w:rsid w:val="00F5752A"/>
    <w:rsid w:val="00F66087"/>
    <w:rsid w:val="00F67403"/>
    <w:rsid w:val="00F73CD7"/>
    <w:rsid w:val="00F759F2"/>
    <w:rsid w:val="00F83996"/>
    <w:rsid w:val="00F90E96"/>
    <w:rsid w:val="00FA36CB"/>
    <w:rsid w:val="00FA7D91"/>
    <w:rsid w:val="00FB0EC2"/>
    <w:rsid w:val="00FB68D8"/>
    <w:rsid w:val="00FC1984"/>
    <w:rsid w:val="00FC782B"/>
    <w:rsid w:val="00FE7BB8"/>
    <w:rsid w:val="00FE7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2E102"/>
  <w15:chartTrackingRefBased/>
  <w15:docId w15:val="{5C1536AB-032E-41C4-B649-024607034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DC1"/>
    <w:pPr>
      <w:spacing w:line="256" w:lineRule="auto"/>
    </w:pPr>
  </w:style>
  <w:style w:type="paragraph" w:styleId="Heading1">
    <w:name w:val="heading 1"/>
    <w:basedOn w:val="Normal"/>
    <w:next w:val="Normal"/>
    <w:link w:val="Heading1Char"/>
    <w:uiPriority w:val="9"/>
    <w:qFormat/>
    <w:rsid w:val="00F04D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4D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4D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4D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4D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4D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4D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4D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4D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D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4D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4D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4D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4D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4D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4D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4D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4DC1"/>
    <w:rPr>
      <w:rFonts w:eastAsiaTheme="majorEastAsia" w:cstheme="majorBidi"/>
      <w:color w:val="272727" w:themeColor="text1" w:themeTint="D8"/>
    </w:rPr>
  </w:style>
  <w:style w:type="paragraph" w:styleId="Title">
    <w:name w:val="Title"/>
    <w:basedOn w:val="Normal"/>
    <w:next w:val="Normal"/>
    <w:link w:val="TitleChar"/>
    <w:uiPriority w:val="10"/>
    <w:qFormat/>
    <w:rsid w:val="00F04D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D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D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4D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4DC1"/>
    <w:pPr>
      <w:spacing w:before="160"/>
      <w:jc w:val="center"/>
    </w:pPr>
    <w:rPr>
      <w:i/>
      <w:iCs/>
      <w:color w:val="404040" w:themeColor="text1" w:themeTint="BF"/>
    </w:rPr>
  </w:style>
  <w:style w:type="character" w:customStyle="1" w:styleId="QuoteChar">
    <w:name w:val="Quote Char"/>
    <w:basedOn w:val="DefaultParagraphFont"/>
    <w:link w:val="Quote"/>
    <w:uiPriority w:val="29"/>
    <w:rsid w:val="00F04DC1"/>
    <w:rPr>
      <w:i/>
      <w:iCs/>
      <w:color w:val="404040" w:themeColor="text1" w:themeTint="BF"/>
    </w:rPr>
  </w:style>
  <w:style w:type="paragraph" w:styleId="ListParagraph">
    <w:name w:val="List Paragraph"/>
    <w:basedOn w:val="Normal"/>
    <w:uiPriority w:val="34"/>
    <w:qFormat/>
    <w:rsid w:val="00F04DC1"/>
    <w:pPr>
      <w:ind w:left="720"/>
      <w:contextualSpacing/>
    </w:pPr>
  </w:style>
  <w:style w:type="character" w:styleId="IntenseEmphasis">
    <w:name w:val="Intense Emphasis"/>
    <w:basedOn w:val="DefaultParagraphFont"/>
    <w:uiPriority w:val="21"/>
    <w:qFormat/>
    <w:rsid w:val="00F04DC1"/>
    <w:rPr>
      <w:i/>
      <w:iCs/>
      <w:color w:val="0F4761" w:themeColor="accent1" w:themeShade="BF"/>
    </w:rPr>
  </w:style>
  <w:style w:type="paragraph" w:styleId="IntenseQuote">
    <w:name w:val="Intense Quote"/>
    <w:basedOn w:val="Normal"/>
    <w:next w:val="Normal"/>
    <w:link w:val="IntenseQuoteChar"/>
    <w:uiPriority w:val="30"/>
    <w:qFormat/>
    <w:rsid w:val="00F04D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4DC1"/>
    <w:rPr>
      <w:i/>
      <w:iCs/>
      <w:color w:val="0F4761" w:themeColor="accent1" w:themeShade="BF"/>
    </w:rPr>
  </w:style>
  <w:style w:type="character" w:styleId="IntenseReference">
    <w:name w:val="Intense Reference"/>
    <w:basedOn w:val="DefaultParagraphFont"/>
    <w:uiPriority w:val="32"/>
    <w:qFormat/>
    <w:rsid w:val="00F04DC1"/>
    <w:rPr>
      <w:b/>
      <w:bCs/>
      <w:smallCaps/>
      <w:color w:val="0F4761" w:themeColor="accent1" w:themeShade="BF"/>
      <w:spacing w:val="5"/>
    </w:rPr>
  </w:style>
  <w:style w:type="paragraph" w:styleId="FootnoteText">
    <w:name w:val="footnote text"/>
    <w:basedOn w:val="Normal"/>
    <w:link w:val="FootnoteTextChar"/>
    <w:uiPriority w:val="99"/>
    <w:unhideWhenUsed/>
    <w:rsid w:val="00F04DC1"/>
    <w:pPr>
      <w:spacing w:after="0" w:line="240" w:lineRule="auto"/>
    </w:pPr>
    <w:rPr>
      <w:rFonts w:ascii="Times New Roman" w:eastAsia="Times New Roman" w:hAnsi="Times New Roman" w:cs="Times New Roman"/>
      <w:kern w:val="0"/>
      <w:sz w:val="20"/>
      <w:szCs w:val="20"/>
    </w:rPr>
  </w:style>
  <w:style w:type="character" w:customStyle="1" w:styleId="FootnoteTextChar">
    <w:name w:val="Footnote Text Char"/>
    <w:basedOn w:val="DefaultParagraphFont"/>
    <w:link w:val="FootnoteText"/>
    <w:uiPriority w:val="99"/>
    <w:rsid w:val="00F04DC1"/>
    <w:rPr>
      <w:rFonts w:ascii="Times New Roman" w:eastAsia="Times New Roman" w:hAnsi="Times New Roman" w:cs="Times New Roman"/>
      <w:kern w:val="0"/>
      <w:sz w:val="20"/>
      <w:szCs w:val="20"/>
    </w:rPr>
  </w:style>
  <w:style w:type="character" w:styleId="FootnoteReference">
    <w:name w:val="footnote reference"/>
    <w:basedOn w:val="DefaultParagraphFont"/>
    <w:uiPriority w:val="99"/>
    <w:unhideWhenUsed/>
    <w:rsid w:val="00F04DC1"/>
    <w:rPr>
      <w:vertAlign w:val="superscript"/>
    </w:rPr>
  </w:style>
  <w:style w:type="character" w:styleId="CommentReference">
    <w:name w:val="annotation reference"/>
    <w:basedOn w:val="DefaultParagraphFont"/>
    <w:uiPriority w:val="99"/>
    <w:semiHidden/>
    <w:unhideWhenUsed/>
    <w:rsid w:val="005D558D"/>
    <w:rPr>
      <w:sz w:val="16"/>
      <w:szCs w:val="16"/>
    </w:rPr>
  </w:style>
  <w:style w:type="paragraph" w:styleId="CommentText">
    <w:name w:val="annotation text"/>
    <w:basedOn w:val="Normal"/>
    <w:link w:val="CommentTextChar"/>
    <w:uiPriority w:val="99"/>
    <w:unhideWhenUsed/>
    <w:rsid w:val="005D558D"/>
    <w:pPr>
      <w:spacing w:line="240" w:lineRule="auto"/>
    </w:pPr>
    <w:rPr>
      <w:sz w:val="20"/>
      <w:szCs w:val="20"/>
    </w:rPr>
  </w:style>
  <w:style w:type="character" w:customStyle="1" w:styleId="CommentTextChar">
    <w:name w:val="Comment Text Char"/>
    <w:basedOn w:val="DefaultParagraphFont"/>
    <w:link w:val="CommentText"/>
    <w:uiPriority w:val="99"/>
    <w:rsid w:val="005D558D"/>
    <w:rPr>
      <w:sz w:val="20"/>
      <w:szCs w:val="20"/>
    </w:rPr>
  </w:style>
  <w:style w:type="paragraph" w:styleId="CommentSubject">
    <w:name w:val="annotation subject"/>
    <w:basedOn w:val="CommentText"/>
    <w:next w:val="CommentText"/>
    <w:link w:val="CommentSubjectChar"/>
    <w:uiPriority w:val="99"/>
    <w:semiHidden/>
    <w:unhideWhenUsed/>
    <w:rsid w:val="005D558D"/>
    <w:rPr>
      <w:b/>
      <w:bCs/>
    </w:rPr>
  </w:style>
  <w:style w:type="character" w:customStyle="1" w:styleId="CommentSubjectChar">
    <w:name w:val="Comment Subject Char"/>
    <w:basedOn w:val="CommentTextChar"/>
    <w:link w:val="CommentSubject"/>
    <w:uiPriority w:val="99"/>
    <w:semiHidden/>
    <w:rsid w:val="005D558D"/>
    <w:rPr>
      <w:b/>
      <w:bCs/>
      <w:sz w:val="20"/>
      <w:szCs w:val="20"/>
    </w:rPr>
  </w:style>
  <w:style w:type="character" w:styleId="Hyperlink">
    <w:name w:val="Hyperlink"/>
    <w:basedOn w:val="DefaultParagraphFont"/>
    <w:uiPriority w:val="99"/>
    <w:unhideWhenUsed/>
    <w:rsid w:val="002C03DB"/>
    <w:rPr>
      <w:color w:val="467886" w:themeColor="hyperlink"/>
      <w:u w:val="single"/>
    </w:rPr>
  </w:style>
  <w:style w:type="character" w:styleId="UnresolvedMention">
    <w:name w:val="Unresolved Mention"/>
    <w:basedOn w:val="DefaultParagraphFont"/>
    <w:uiPriority w:val="99"/>
    <w:semiHidden/>
    <w:unhideWhenUsed/>
    <w:rsid w:val="002C03DB"/>
    <w:rPr>
      <w:color w:val="605E5C"/>
      <w:shd w:val="clear" w:color="auto" w:fill="E1DFDD"/>
    </w:rPr>
  </w:style>
  <w:style w:type="paragraph" w:styleId="Header">
    <w:name w:val="header"/>
    <w:basedOn w:val="Normal"/>
    <w:link w:val="HeaderChar"/>
    <w:uiPriority w:val="99"/>
    <w:unhideWhenUsed/>
    <w:rsid w:val="00BE73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39E"/>
  </w:style>
  <w:style w:type="paragraph" w:styleId="Footer">
    <w:name w:val="footer"/>
    <w:basedOn w:val="Normal"/>
    <w:link w:val="FooterChar"/>
    <w:uiPriority w:val="99"/>
    <w:unhideWhenUsed/>
    <w:rsid w:val="00BE73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39E"/>
  </w:style>
  <w:style w:type="paragraph" w:styleId="Revision">
    <w:name w:val="Revision"/>
    <w:hidden/>
    <w:uiPriority w:val="99"/>
    <w:semiHidden/>
    <w:rsid w:val="00A72C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18247">
      <w:bodyDiv w:val="1"/>
      <w:marLeft w:val="0"/>
      <w:marRight w:val="0"/>
      <w:marTop w:val="0"/>
      <w:marBottom w:val="0"/>
      <w:divBdr>
        <w:top w:val="none" w:sz="0" w:space="0" w:color="auto"/>
        <w:left w:val="none" w:sz="0" w:space="0" w:color="auto"/>
        <w:bottom w:val="none" w:sz="0" w:space="0" w:color="auto"/>
        <w:right w:val="none" w:sz="0" w:space="0" w:color="auto"/>
      </w:divBdr>
      <w:divsChild>
        <w:div w:id="2116052359">
          <w:marLeft w:val="0"/>
          <w:marRight w:val="0"/>
          <w:marTop w:val="0"/>
          <w:marBottom w:val="0"/>
          <w:divBdr>
            <w:top w:val="none" w:sz="0" w:space="0" w:color="auto"/>
            <w:left w:val="none" w:sz="0" w:space="0" w:color="auto"/>
            <w:bottom w:val="none" w:sz="0" w:space="0" w:color="auto"/>
            <w:right w:val="none" w:sz="0" w:space="0" w:color="auto"/>
          </w:divBdr>
        </w:div>
      </w:divsChild>
    </w:div>
    <w:div w:id="1339194856">
      <w:bodyDiv w:val="1"/>
      <w:marLeft w:val="0"/>
      <w:marRight w:val="0"/>
      <w:marTop w:val="0"/>
      <w:marBottom w:val="0"/>
      <w:divBdr>
        <w:top w:val="none" w:sz="0" w:space="0" w:color="auto"/>
        <w:left w:val="none" w:sz="0" w:space="0" w:color="auto"/>
        <w:bottom w:val="none" w:sz="0" w:space="0" w:color="auto"/>
        <w:right w:val="none" w:sz="0" w:space="0" w:color="auto"/>
      </w:divBdr>
    </w:div>
    <w:div w:id="1879587222">
      <w:bodyDiv w:val="1"/>
      <w:marLeft w:val="0"/>
      <w:marRight w:val="0"/>
      <w:marTop w:val="0"/>
      <w:marBottom w:val="0"/>
      <w:divBdr>
        <w:top w:val="none" w:sz="0" w:space="0" w:color="auto"/>
        <w:left w:val="none" w:sz="0" w:space="0" w:color="auto"/>
        <w:bottom w:val="none" w:sz="0" w:space="0" w:color="auto"/>
        <w:right w:val="none" w:sz="0" w:space="0" w:color="auto"/>
      </w:divBdr>
      <w:divsChild>
        <w:div w:id="812020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0D315116AF08498EB5DAEE8AD89C66" ma:contentTypeVersion="5" ma:contentTypeDescription="Create a new document." ma:contentTypeScope="" ma:versionID="b515a544ef48ab0651906b71a24dd33e">
  <xsd:schema xmlns:xsd="http://www.w3.org/2001/XMLSchema" xmlns:xs="http://www.w3.org/2001/XMLSchema" xmlns:p="http://schemas.microsoft.com/office/2006/metadata/properties" xmlns:ns3="8b23216a-5350-4507-ae5a-0c050c6c9bdd" targetNamespace="http://schemas.microsoft.com/office/2006/metadata/properties" ma:root="true" ma:fieldsID="9f8a3f2a3003fef02d7639384815523b" ns3:_="">
    <xsd:import namespace="8b23216a-5350-4507-ae5a-0c050c6c9bd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23216a-5350-4507-ae5a-0c050c6c9b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8b23216a-5350-4507-ae5a-0c050c6c9bd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446E0E-49BF-432D-89D9-A06270F41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23216a-5350-4507-ae5a-0c050c6c9b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AAD7B5-54C6-48A6-AEEE-CB805A84075F}">
  <ds:schemaRefs>
    <ds:schemaRef ds:uri="http://schemas.openxmlformats.org/officeDocument/2006/bibliography"/>
  </ds:schemaRefs>
</ds:datastoreItem>
</file>

<file path=customXml/itemProps3.xml><?xml version="1.0" encoding="utf-8"?>
<ds:datastoreItem xmlns:ds="http://schemas.openxmlformats.org/officeDocument/2006/customXml" ds:itemID="{08883CEF-D53A-4795-8F2D-0EA30D2D6501}">
  <ds:schemaRefs>
    <ds:schemaRef ds:uri="http://schemas.microsoft.com/office/2006/metadata/properties"/>
    <ds:schemaRef ds:uri="http://schemas.microsoft.com/office/infopath/2007/PartnerControls"/>
    <ds:schemaRef ds:uri="8b23216a-5350-4507-ae5a-0c050c6c9bdd"/>
  </ds:schemaRefs>
</ds:datastoreItem>
</file>

<file path=customXml/itemProps4.xml><?xml version="1.0" encoding="utf-8"?>
<ds:datastoreItem xmlns:ds="http://schemas.openxmlformats.org/officeDocument/2006/customXml" ds:itemID="{8C367AE9-9CEC-4340-BCA4-4CB5F8ACCC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1029</Words>
  <Characters>5869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Pavlini, Esq.</dc:creator>
  <cp:keywords/>
  <dc:description/>
  <cp:lastModifiedBy>Timothy Capowski, Esq.</cp:lastModifiedBy>
  <cp:revision>2</cp:revision>
  <dcterms:created xsi:type="dcterms:W3CDTF">2025-05-20T20:40:00Z</dcterms:created>
  <dcterms:modified xsi:type="dcterms:W3CDTF">2025-05-20T20:40:00Z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0x010100460D315116AF08498EB5DAEE8AD89C66</vt:lpwstr>
  </property>
</Properties>
</file>