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35A8" w14:textId="48F4CD10" w:rsidR="00A70148" w:rsidRPr="00BA3A26" w:rsidRDefault="00BA3A26" w:rsidP="00BA3A26">
      <w:pPr>
        <w:spacing w:after="0" w:line="240" w:lineRule="auto"/>
        <w:contextualSpacing/>
        <w:jc w:val="center"/>
        <w:rPr>
          <w:rFonts w:ascii="Times New Roman" w:hAnsi="Times New Roman" w:cs="Times New Roman"/>
          <w:kern w:val="0"/>
          <w:sz w:val="24"/>
          <w:szCs w:val="24"/>
          <w14:ligatures w14:val="none"/>
        </w:rPr>
      </w:pPr>
      <w:r w:rsidRPr="00BA3A26">
        <w:rPr>
          <w:rFonts w:ascii="Times New Roman" w:hAnsi="Times New Roman" w:cs="Times New Roman"/>
          <w:sz w:val="24"/>
          <w:szCs w:val="24"/>
        </w:rPr>
        <w:t>DEFENDA</w:t>
      </w:r>
      <w:r w:rsidR="009F4374">
        <w:rPr>
          <w:rFonts w:ascii="Times New Roman" w:hAnsi="Times New Roman" w:cs="Times New Roman"/>
          <w:sz w:val="24"/>
          <w:szCs w:val="24"/>
        </w:rPr>
        <w:t>N</w:t>
      </w:r>
      <w:r w:rsidRPr="00BA3A26">
        <w:rPr>
          <w:rFonts w:ascii="Times New Roman" w:hAnsi="Times New Roman" w:cs="Times New Roman"/>
          <w:sz w:val="24"/>
          <w:szCs w:val="24"/>
        </w:rPr>
        <w:t xml:space="preserve">T’S </w:t>
      </w:r>
      <w:r w:rsidR="003C66EB" w:rsidRPr="00BA3A26">
        <w:rPr>
          <w:rFonts w:ascii="Times New Roman" w:hAnsi="Times New Roman"/>
          <w:sz w:val="24"/>
          <w:szCs w:val="24"/>
        </w:rPr>
        <w:t>PRE-TRIAL MOTION TO PRECLUDE IMPROPER “FAILURE TO ACCEPT RESPONSIBILITY” COMMENTARY OR QUESTIONS</w:t>
      </w:r>
    </w:p>
    <w:p w14:paraId="40D266FB" w14:textId="77777777" w:rsidR="00A70148" w:rsidRPr="007003E8" w:rsidRDefault="00A70148" w:rsidP="00B74A9A">
      <w:pPr>
        <w:spacing w:after="0" w:line="240" w:lineRule="auto"/>
        <w:jc w:val="center"/>
        <w:rPr>
          <w:rFonts w:ascii="Times New Roman" w:hAnsi="Times New Roman" w:cs="Times New Roman"/>
          <w:bCs/>
          <w:kern w:val="0"/>
          <w:sz w:val="24"/>
          <w:szCs w:val="24"/>
          <w14:ligatures w14:val="none"/>
        </w:rPr>
      </w:pPr>
    </w:p>
    <w:p w14:paraId="3A549D91" w14:textId="77777777" w:rsidR="00F04DC1" w:rsidRPr="007003E8" w:rsidRDefault="00F04DC1" w:rsidP="00B74A9A">
      <w:pPr>
        <w:spacing w:after="0" w:line="240" w:lineRule="auto"/>
        <w:contextualSpacing/>
        <w:jc w:val="both"/>
        <w:rPr>
          <w:rFonts w:ascii="Times New Roman" w:hAnsi="Times New Roman" w:cs="Times New Roman"/>
          <w:b/>
          <w:sz w:val="24"/>
          <w:szCs w:val="24"/>
        </w:rPr>
      </w:pPr>
    </w:p>
    <w:p w14:paraId="0C1D64F6" w14:textId="77777777" w:rsidR="00F04DC1" w:rsidRPr="007003E8" w:rsidRDefault="00F04DC1" w:rsidP="00B74A9A">
      <w:pPr>
        <w:spacing w:after="0" w:line="240" w:lineRule="auto"/>
        <w:ind w:left="4320"/>
        <w:contextualSpacing/>
        <w:rPr>
          <w:rFonts w:ascii="Times New Roman" w:eastAsia="Calibri" w:hAnsi="Times New Roman" w:cs="Times New Roman"/>
          <w:sz w:val="24"/>
          <w:szCs w:val="24"/>
        </w:rPr>
      </w:pPr>
      <w:r w:rsidRPr="007003E8">
        <w:rPr>
          <w:rFonts w:ascii="Times New Roman" w:eastAsia="Calibri" w:hAnsi="Times New Roman" w:cs="Times New Roman"/>
          <w:sz w:val="24"/>
          <w:szCs w:val="24"/>
        </w:rPr>
        <w:t>Respectfully submitted,</w:t>
      </w:r>
    </w:p>
    <w:p w14:paraId="5EB6F3D4" w14:textId="77777777" w:rsidR="00F04DC1" w:rsidRPr="007003E8" w:rsidRDefault="00F04DC1" w:rsidP="00B74A9A">
      <w:pPr>
        <w:spacing w:after="0" w:line="240" w:lineRule="auto"/>
        <w:ind w:left="4320"/>
        <w:contextualSpacing/>
        <w:rPr>
          <w:rFonts w:ascii="Times New Roman" w:eastAsia="Calibri" w:hAnsi="Times New Roman" w:cs="Times New Roman"/>
          <w:sz w:val="24"/>
          <w:szCs w:val="24"/>
        </w:rPr>
      </w:pPr>
    </w:p>
    <w:p w14:paraId="40943F7C" w14:textId="0F2EFD1B" w:rsidR="002C3539" w:rsidRPr="00620207" w:rsidRDefault="00CD1B6C" w:rsidP="00BA3A26">
      <w:pPr>
        <w:spacing w:after="0" w:line="240" w:lineRule="auto"/>
        <w:contextualSpacing/>
        <w:rPr>
          <w:rFonts w:ascii="Times New Roman" w:eastAsia="Calibri" w:hAnsi="Times New Roman" w:cs="Times New Roman"/>
          <w:sz w:val="24"/>
          <w:szCs w:val="24"/>
        </w:rPr>
      </w:pPr>
      <w:r w:rsidRPr="007003E8">
        <w:rPr>
          <w:rFonts w:ascii="Times New Roman" w:eastAsia="Calibri" w:hAnsi="Times New Roman" w:cs="Times New Roman"/>
          <w:b/>
          <w:bCs/>
          <w:iCs/>
          <w:sz w:val="24"/>
          <w:szCs w:val="24"/>
        </w:rPr>
        <w:t>DATED</w:t>
      </w:r>
      <w:r w:rsidRPr="007003E8">
        <w:rPr>
          <w:rFonts w:ascii="Times New Roman" w:eastAsia="Calibri" w:hAnsi="Times New Roman" w:cs="Times New Roman"/>
          <w:iCs/>
          <w:sz w:val="24"/>
          <w:szCs w:val="24"/>
        </w:rPr>
        <w:t xml:space="preserve">: </w:t>
      </w:r>
    </w:p>
    <w:p w14:paraId="37D4737D" w14:textId="77777777" w:rsidR="00F04DC1" w:rsidRPr="00620207" w:rsidRDefault="00F04DC1" w:rsidP="00B74A9A">
      <w:pPr>
        <w:spacing w:after="0" w:line="480" w:lineRule="auto"/>
        <w:contextualSpacing/>
        <w:rPr>
          <w:rFonts w:ascii="Times New Roman" w:eastAsia="Calibri" w:hAnsi="Times New Roman" w:cs="Times New Roman"/>
          <w:iCs/>
          <w:sz w:val="24"/>
          <w:szCs w:val="24"/>
        </w:rPr>
      </w:pPr>
    </w:p>
    <w:p w14:paraId="36F425E6" w14:textId="77777777" w:rsidR="00F04DC1" w:rsidRPr="00620207" w:rsidRDefault="00F04DC1" w:rsidP="00B74A9A">
      <w:pPr>
        <w:spacing w:after="0" w:line="480" w:lineRule="auto"/>
        <w:rPr>
          <w:rFonts w:ascii="Times New Roman" w:eastAsia="Times New Roman" w:hAnsi="Times New Roman" w:cs="Times New Roman"/>
          <w:b/>
          <w:kern w:val="0"/>
          <w:sz w:val="24"/>
          <w:szCs w:val="24"/>
          <w14:ligatures w14:val="none"/>
        </w:rPr>
      </w:pPr>
    </w:p>
    <w:p w14:paraId="64355706" w14:textId="77777777" w:rsidR="00F04DC1" w:rsidRPr="00620207" w:rsidRDefault="00F04DC1" w:rsidP="00B74A9A">
      <w:pPr>
        <w:spacing w:after="0" w:line="480" w:lineRule="auto"/>
        <w:contextualSpacing/>
        <w:rPr>
          <w:rFonts w:ascii="Times New Roman" w:hAnsi="Times New Roman" w:cs="Times New Roman"/>
          <w:bCs/>
          <w:kern w:val="0"/>
          <w:sz w:val="24"/>
          <w:szCs w:val="24"/>
          <w14:ligatures w14:val="none"/>
        </w:rPr>
      </w:pPr>
    </w:p>
    <w:p w14:paraId="3691D3D2" w14:textId="77777777" w:rsidR="001363E3" w:rsidRPr="00620207" w:rsidRDefault="001363E3" w:rsidP="00B74A9A">
      <w:pPr>
        <w:spacing w:after="0" w:line="480" w:lineRule="auto"/>
        <w:rPr>
          <w:rFonts w:ascii="Times New Roman" w:hAnsi="Times New Roman" w:cs="Times New Roman"/>
          <w:sz w:val="24"/>
          <w:szCs w:val="24"/>
          <w:u w:val="single"/>
        </w:rPr>
      </w:pPr>
      <w:r w:rsidRPr="00620207">
        <w:rPr>
          <w:rFonts w:ascii="Times New Roman" w:hAnsi="Times New Roman" w:cs="Times New Roman"/>
          <w:sz w:val="24"/>
          <w:szCs w:val="24"/>
          <w:u w:val="single"/>
        </w:rPr>
        <w:br w:type="page"/>
      </w:r>
    </w:p>
    <w:p w14:paraId="35B8682E" w14:textId="2AC5FD1D" w:rsidR="00B23235" w:rsidRDefault="003C66EB" w:rsidP="00B7681B">
      <w:pPr>
        <w:spacing w:after="0" w:line="480" w:lineRule="auto"/>
        <w:jc w:val="both"/>
        <w:rPr>
          <w:rFonts w:ascii="Times New Roman" w:eastAsia="Calibri" w:hAnsi="Times New Roman"/>
          <w:sz w:val="24"/>
          <w:szCs w:val="24"/>
        </w:rPr>
      </w:pPr>
      <w:r w:rsidRPr="003C66EB">
        <w:rPr>
          <w:rFonts w:ascii="Times New Roman" w:eastAsia="Calibri" w:hAnsi="Times New Roman"/>
          <w:sz w:val="24"/>
          <w:szCs w:val="24"/>
        </w:rPr>
        <w:tab/>
        <w:t xml:space="preserve">A plaintiff’s attacks on a defendant for its “failure to take responsibility” are </w:t>
      </w:r>
      <w:r w:rsidR="00A1311D">
        <w:rPr>
          <w:rFonts w:ascii="Times New Roman" w:eastAsia="Calibri" w:hAnsi="Times New Roman"/>
          <w:sz w:val="24"/>
          <w:szCs w:val="24"/>
        </w:rPr>
        <w:t>patently</w:t>
      </w:r>
      <w:r w:rsidR="00A1311D" w:rsidRPr="003C66EB">
        <w:rPr>
          <w:rFonts w:ascii="Times New Roman" w:eastAsia="Calibri" w:hAnsi="Times New Roman"/>
          <w:sz w:val="24"/>
          <w:szCs w:val="24"/>
        </w:rPr>
        <w:t xml:space="preserve"> </w:t>
      </w:r>
      <w:r w:rsidRPr="003C66EB">
        <w:rPr>
          <w:rFonts w:ascii="Times New Roman" w:eastAsia="Calibri" w:hAnsi="Times New Roman"/>
          <w:sz w:val="24"/>
          <w:szCs w:val="24"/>
        </w:rPr>
        <w:t xml:space="preserve">improper </w:t>
      </w:r>
      <w:r w:rsidR="00243877">
        <w:rPr>
          <w:rFonts w:ascii="Times New Roman" w:eastAsia="Calibri" w:hAnsi="Times New Roman"/>
          <w:sz w:val="24"/>
          <w:szCs w:val="24"/>
        </w:rPr>
        <w:t>abrogation of</w:t>
      </w:r>
      <w:r w:rsidR="00470100">
        <w:rPr>
          <w:rFonts w:ascii="Times New Roman" w:eastAsia="Calibri" w:hAnsi="Times New Roman"/>
          <w:sz w:val="24"/>
          <w:szCs w:val="24"/>
        </w:rPr>
        <w:t xml:space="preserve"> defendants’</w:t>
      </w:r>
      <w:r w:rsidR="00FD5912">
        <w:rPr>
          <w:rFonts w:ascii="Times New Roman" w:eastAsia="Calibri" w:hAnsi="Times New Roman"/>
          <w:sz w:val="24"/>
          <w:szCs w:val="24"/>
        </w:rPr>
        <w:t xml:space="preserve"> constitutional right to a jury trial</w:t>
      </w:r>
      <w:r w:rsidR="00A1311D">
        <w:rPr>
          <w:rFonts w:ascii="Times New Roman" w:eastAsia="Calibri" w:hAnsi="Times New Roman"/>
          <w:sz w:val="24"/>
          <w:szCs w:val="24"/>
        </w:rPr>
        <w:t xml:space="preserve">. </w:t>
      </w:r>
      <w:r w:rsidR="00425716">
        <w:rPr>
          <w:rFonts w:ascii="Times New Roman" w:eastAsia="Calibri" w:hAnsi="Times New Roman"/>
          <w:sz w:val="24"/>
          <w:szCs w:val="24"/>
        </w:rPr>
        <w:t xml:space="preserve">It is well-settled that, </w:t>
      </w:r>
      <w:r w:rsidR="00B3197F">
        <w:rPr>
          <w:rFonts w:ascii="Times New Roman" w:eastAsia="Calibri" w:hAnsi="Times New Roman"/>
          <w:sz w:val="24"/>
          <w:szCs w:val="24"/>
        </w:rPr>
        <w:t>except</w:t>
      </w:r>
      <w:r w:rsidR="00884BD9">
        <w:rPr>
          <w:rFonts w:ascii="Times New Roman" w:eastAsia="Calibri" w:hAnsi="Times New Roman"/>
          <w:sz w:val="24"/>
          <w:szCs w:val="24"/>
        </w:rPr>
        <w:t xml:space="preserve"> when</w:t>
      </w:r>
      <w:r w:rsidR="00B3197F">
        <w:rPr>
          <w:rFonts w:ascii="Times New Roman" w:eastAsia="Calibri" w:hAnsi="Times New Roman"/>
          <w:sz w:val="24"/>
          <w:szCs w:val="24"/>
        </w:rPr>
        <w:t xml:space="preserve"> in</w:t>
      </w:r>
      <w:r w:rsidR="00425716">
        <w:rPr>
          <w:rFonts w:ascii="Times New Roman" w:eastAsia="Calibri" w:hAnsi="Times New Roman"/>
          <w:sz w:val="24"/>
          <w:szCs w:val="24"/>
        </w:rPr>
        <w:t xml:space="preserve"> default, “</w:t>
      </w:r>
      <w:r w:rsidR="00425716" w:rsidRPr="00425716">
        <w:rPr>
          <w:rFonts w:ascii="Times New Roman" w:eastAsia="Calibri" w:hAnsi="Times New Roman"/>
          <w:sz w:val="24"/>
          <w:szCs w:val="24"/>
        </w:rPr>
        <w:t xml:space="preserve">a party who has been sued, either at law or in equity, has a right to appear and make his </w:t>
      </w:r>
      <w:proofErr w:type="spellStart"/>
      <w:r w:rsidR="00425716" w:rsidRPr="00425716">
        <w:rPr>
          <w:rFonts w:ascii="Times New Roman" w:eastAsia="Calibri" w:hAnsi="Times New Roman"/>
          <w:sz w:val="24"/>
          <w:szCs w:val="24"/>
        </w:rPr>
        <w:t>defence</w:t>
      </w:r>
      <w:proofErr w:type="spellEnd"/>
      <w:r w:rsidR="00425716" w:rsidRPr="00425716">
        <w:rPr>
          <w:rFonts w:ascii="Times New Roman" w:eastAsia="Calibri" w:hAnsi="Times New Roman"/>
          <w:sz w:val="24"/>
          <w:szCs w:val="24"/>
        </w:rPr>
        <w:t>. It is a strict legal right, of which he cannot be deprived.</w:t>
      </w:r>
      <w:r w:rsidR="00425716">
        <w:rPr>
          <w:rFonts w:ascii="Times New Roman" w:eastAsia="Calibri" w:hAnsi="Times New Roman"/>
          <w:sz w:val="24"/>
          <w:szCs w:val="24"/>
        </w:rPr>
        <w:t xml:space="preserve">” </w:t>
      </w:r>
      <w:r w:rsidR="00425716" w:rsidRPr="00CB3CEF">
        <w:rPr>
          <w:rFonts w:ascii="Times New Roman" w:eastAsia="Calibri" w:hAnsi="Times New Roman"/>
          <w:sz w:val="24"/>
          <w:szCs w:val="24"/>
          <w:u w:val="single"/>
        </w:rPr>
        <w:t>Fort v. Bard</w:t>
      </w:r>
      <w:r w:rsidR="00425716" w:rsidRPr="00425716">
        <w:rPr>
          <w:rFonts w:ascii="Times New Roman" w:eastAsia="Calibri" w:hAnsi="Times New Roman"/>
          <w:sz w:val="24"/>
          <w:szCs w:val="24"/>
        </w:rPr>
        <w:t>, 1 N.Y. 43, 45</w:t>
      </w:r>
      <w:r w:rsidR="00425716">
        <w:rPr>
          <w:rFonts w:ascii="Times New Roman" w:eastAsia="Calibri" w:hAnsi="Times New Roman"/>
          <w:sz w:val="24"/>
          <w:szCs w:val="24"/>
        </w:rPr>
        <w:t xml:space="preserve"> (1847); </w:t>
      </w:r>
      <w:r w:rsidR="00A7649D">
        <w:rPr>
          <w:rFonts w:ascii="Times New Roman" w:eastAsia="Calibri" w:hAnsi="Times New Roman"/>
          <w:sz w:val="24"/>
          <w:szCs w:val="24"/>
          <w:u w:val="single"/>
        </w:rPr>
        <w:t>see</w:t>
      </w:r>
      <w:r w:rsidR="00A7649D">
        <w:rPr>
          <w:rFonts w:ascii="Times New Roman" w:eastAsia="Calibri" w:hAnsi="Times New Roman"/>
          <w:sz w:val="24"/>
          <w:szCs w:val="24"/>
        </w:rPr>
        <w:t xml:space="preserve"> </w:t>
      </w:r>
      <w:r w:rsidR="004777B1" w:rsidRPr="00CB3CEF">
        <w:rPr>
          <w:rFonts w:ascii="Times New Roman" w:eastAsia="Calibri" w:hAnsi="Times New Roman"/>
          <w:sz w:val="24"/>
          <w:szCs w:val="24"/>
          <w:u w:val="single"/>
        </w:rPr>
        <w:t>Wash. Sav. Bank v. Fletcher</w:t>
      </w:r>
      <w:r w:rsidR="004777B1" w:rsidRPr="004777B1">
        <w:rPr>
          <w:rFonts w:ascii="Times New Roman" w:eastAsia="Calibri" w:hAnsi="Times New Roman"/>
          <w:sz w:val="24"/>
          <w:szCs w:val="24"/>
        </w:rPr>
        <w:t>, 55 A.D. 580, 585</w:t>
      </w:r>
      <w:r w:rsidR="004777B1">
        <w:rPr>
          <w:rFonts w:ascii="Times New Roman" w:eastAsia="Calibri" w:hAnsi="Times New Roman"/>
          <w:sz w:val="24"/>
          <w:szCs w:val="24"/>
        </w:rPr>
        <w:t xml:space="preserve"> (1st </w:t>
      </w:r>
      <w:proofErr w:type="spellStart"/>
      <w:r w:rsidR="004777B1">
        <w:rPr>
          <w:rFonts w:ascii="Times New Roman" w:eastAsia="Calibri" w:hAnsi="Times New Roman"/>
          <w:sz w:val="24"/>
          <w:szCs w:val="24"/>
        </w:rPr>
        <w:t>Dep</w:t>
      </w:r>
      <w:r w:rsidR="005D0098">
        <w:rPr>
          <w:rFonts w:ascii="Times New Roman" w:eastAsia="Calibri" w:hAnsi="Times New Roman"/>
          <w:sz w:val="24"/>
          <w:szCs w:val="24"/>
        </w:rPr>
        <w:t>’t</w:t>
      </w:r>
      <w:proofErr w:type="spellEnd"/>
      <w:r w:rsidR="004777B1">
        <w:rPr>
          <w:rFonts w:ascii="Times New Roman" w:eastAsia="Calibri" w:hAnsi="Times New Roman"/>
          <w:sz w:val="24"/>
          <w:szCs w:val="24"/>
        </w:rPr>
        <w:t xml:space="preserve"> 1900) (“</w:t>
      </w:r>
      <w:r w:rsidR="004777B1" w:rsidRPr="004777B1">
        <w:rPr>
          <w:rFonts w:ascii="Times New Roman" w:eastAsia="Calibri" w:hAnsi="Times New Roman"/>
          <w:sz w:val="24"/>
          <w:szCs w:val="24"/>
        </w:rPr>
        <w:t>It has a right to present and conduct its own defense, and is not to be deprived of that right because the members of the committee may have set up the facts constituting that defense in their answer</w:t>
      </w:r>
      <w:r w:rsidR="004777B1">
        <w:rPr>
          <w:rFonts w:ascii="Times New Roman" w:eastAsia="Calibri" w:hAnsi="Times New Roman"/>
          <w:sz w:val="24"/>
          <w:szCs w:val="24"/>
        </w:rPr>
        <w:t xml:space="preserve">”); </w:t>
      </w:r>
      <w:r w:rsidR="004777B1">
        <w:rPr>
          <w:rFonts w:ascii="Times New Roman" w:eastAsia="Calibri" w:hAnsi="Times New Roman"/>
          <w:sz w:val="24"/>
          <w:szCs w:val="24"/>
          <w:u w:val="single"/>
        </w:rPr>
        <w:t>see</w:t>
      </w:r>
      <w:r w:rsidR="004777B1">
        <w:rPr>
          <w:rFonts w:ascii="Times New Roman" w:eastAsia="Calibri" w:hAnsi="Times New Roman"/>
          <w:sz w:val="24"/>
          <w:szCs w:val="24"/>
        </w:rPr>
        <w:t xml:space="preserve">, </w:t>
      </w:r>
      <w:r w:rsidR="004777B1">
        <w:rPr>
          <w:rFonts w:ascii="Times New Roman" w:eastAsia="Calibri" w:hAnsi="Times New Roman"/>
          <w:sz w:val="24"/>
          <w:szCs w:val="24"/>
          <w:u w:val="single"/>
        </w:rPr>
        <w:t>e.g.</w:t>
      </w:r>
      <w:r w:rsidR="004777B1">
        <w:rPr>
          <w:rFonts w:ascii="Times New Roman" w:eastAsia="Calibri" w:hAnsi="Times New Roman"/>
          <w:sz w:val="24"/>
          <w:szCs w:val="24"/>
        </w:rPr>
        <w:t xml:space="preserve">, </w:t>
      </w:r>
      <w:r w:rsidR="004777B1" w:rsidRPr="00CB3CEF">
        <w:rPr>
          <w:rFonts w:ascii="Times New Roman" w:eastAsia="Calibri" w:hAnsi="Times New Roman"/>
          <w:sz w:val="24"/>
          <w:szCs w:val="24"/>
          <w:u w:val="single"/>
        </w:rPr>
        <w:t xml:space="preserve">Matter of </w:t>
      </w:r>
      <w:proofErr w:type="spellStart"/>
      <w:r w:rsidR="004777B1" w:rsidRPr="00CB3CEF">
        <w:rPr>
          <w:rFonts w:ascii="Times New Roman" w:eastAsia="Calibri" w:hAnsi="Times New Roman"/>
          <w:sz w:val="24"/>
          <w:szCs w:val="24"/>
          <w:u w:val="single"/>
        </w:rPr>
        <w:t>Yahnlis</w:t>
      </w:r>
      <w:proofErr w:type="spellEnd"/>
      <w:r w:rsidR="004777B1" w:rsidRPr="00CB3CEF">
        <w:rPr>
          <w:rFonts w:ascii="Times New Roman" w:eastAsia="Calibri" w:hAnsi="Times New Roman"/>
          <w:sz w:val="24"/>
          <w:szCs w:val="24"/>
          <w:u w:val="single"/>
        </w:rPr>
        <w:t xml:space="preserve"> M. v. Zahira M.</w:t>
      </w:r>
      <w:r w:rsidR="004777B1" w:rsidRPr="004777B1">
        <w:rPr>
          <w:rFonts w:ascii="Times New Roman" w:eastAsia="Calibri" w:hAnsi="Times New Roman"/>
          <w:sz w:val="24"/>
          <w:szCs w:val="24"/>
        </w:rPr>
        <w:t>, 55 A.D.3d 376, 377</w:t>
      </w:r>
      <w:r w:rsidR="004777B1">
        <w:rPr>
          <w:rFonts w:ascii="Times New Roman" w:eastAsia="Calibri" w:hAnsi="Times New Roman"/>
          <w:sz w:val="24"/>
          <w:szCs w:val="24"/>
        </w:rPr>
        <w:t xml:space="preserve"> (1st </w:t>
      </w:r>
      <w:proofErr w:type="spellStart"/>
      <w:r w:rsidR="004777B1">
        <w:rPr>
          <w:rFonts w:ascii="Times New Roman" w:eastAsia="Calibri" w:hAnsi="Times New Roman"/>
          <w:sz w:val="24"/>
          <w:szCs w:val="24"/>
        </w:rPr>
        <w:t>Dep</w:t>
      </w:r>
      <w:r w:rsidR="002A1A91">
        <w:rPr>
          <w:rFonts w:ascii="Times New Roman" w:eastAsia="Calibri" w:hAnsi="Times New Roman"/>
          <w:sz w:val="24"/>
          <w:szCs w:val="24"/>
        </w:rPr>
        <w:t>’t</w:t>
      </w:r>
      <w:proofErr w:type="spellEnd"/>
      <w:r w:rsidR="004777B1">
        <w:rPr>
          <w:rFonts w:ascii="Times New Roman" w:eastAsia="Calibri" w:hAnsi="Times New Roman"/>
          <w:sz w:val="24"/>
          <w:szCs w:val="24"/>
        </w:rPr>
        <w:t xml:space="preserve"> 2008) (barred presentation of key witness); </w:t>
      </w:r>
      <w:r w:rsidR="004777B1" w:rsidRPr="00CB3CEF">
        <w:rPr>
          <w:rFonts w:ascii="Times New Roman" w:eastAsia="Calibri" w:hAnsi="Times New Roman"/>
          <w:sz w:val="24"/>
          <w:szCs w:val="24"/>
          <w:u w:val="single"/>
        </w:rPr>
        <w:t>Musumeci v. Musumeci</w:t>
      </w:r>
      <w:r w:rsidR="004777B1" w:rsidRPr="004777B1">
        <w:rPr>
          <w:rFonts w:ascii="Times New Roman" w:eastAsia="Calibri" w:hAnsi="Times New Roman"/>
          <w:sz w:val="24"/>
          <w:szCs w:val="24"/>
        </w:rPr>
        <w:t>, 267 A.D.2d 365, 365</w:t>
      </w:r>
      <w:r w:rsidR="004777B1">
        <w:rPr>
          <w:rFonts w:ascii="Times New Roman" w:eastAsia="Calibri" w:hAnsi="Times New Roman"/>
          <w:sz w:val="24"/>
          <w:szCs w:val="24"/>
        </w:rPr>
        <w:t xml:space="preserve"> (2d </w:t>
      </w:r>
      <w:proofErr w:type="spellStart"/>
      <w:r w:rsidR="004777B1">
        <w:rPr>
          <w:rFonts w:ascii="Times New Roman" w:eastAsia="Calibri" w:hAnsi="Times New Roman"/>
          <w:sz w:val="24"/>
          <w:szCs w:val="24"/>
        </w:rPr>
        <w:t>Dep</w:t>
      </w:r>
      <w:r w:rsidR="00E12ECB">
        <w:rPr>
          <w:rFonts w:ascii="Times New Roman" w:eastAsia="Calibri" w:hAnsi="Times New Roman"/>
          <w:sz w:val="24"/>
          <w:szCs w:val="24"/>
        </w:rPr>
        <w:t>’t</w:t>
      </w:r>
      <w:proofErr w:type="spellEnd"/>
      <w:r w:rsidR="004777B1">
        <w:rPr>
          <w:rFonts w:ascii="Times New Roman" w:eastAsia="Calibri" w:hAnsi="Times New Roman"/>
          <w:sz w:val="24"/>
          <w:szCs w:val="24"/>
        </w:rPr>
        <w:t xml:space="preserve"> 1999) (same).</w:t>
      </w:r>
    </w:p>
    <w:p w14:paraId="10348BD6" w14:textId="442535DE" w:rsidR="00337A58" w:rsidRPr="00337A58" w:rsidRDefault="00B7681B" w:rsidP="001C5750">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This right is and must be given meaningful effect as a matter of “</w:t>
      </w:r>
      <w:r w:rsidRPr="00B7681B">
        <w:rPr>
          <w:rFonts w:ascii="Times New Roman" w:eastAsia="Calibri" w:hAnsi="Times New Roman"/>
          <w:sz w:val="24"/>
          <w:szCs w:val="24"/>
        </w:rPr>
        <w:t>fundamental fairness -- the touchstone of due process</w:t>
      </w:r>
      <w:r>
        <w:rPr>
          <w:rFonts w:ascii="Times New Roman" w:eastAsia="Calibri" w:hAnsi="Times New Roman"/>
          <w:sz w:val="24"/>
          <w:szCs w:val="24"/>
        </w:rPr>
        <w:t xml:space="preserve">” </w:t>
      </w:r>
      <w:r w:rsidR="00205790">
        <w:rPr>
          <w:rFonts w:ascii="Times New Roman" w:eastAsia="Calibri" w:hAnsi="Times New Roman"/>
          <w:sz w:val="24"/>
          <w:szCs w:val="24"/>
        </w:rPr>
        <w:t>(</w:t>
      </w:r>
      <w:r w:rsidRPr="00CB3CEF">
        <w:rPr>
          <w:rFonts w:ascii="Times New Roman" w:eastAsia="Calibri" w:hAnsi="Times New Roman"/>
          <w:sz w:val="24"/>
          <w:szCs w:val="24"/>
          <w:u w:val="single"/>
        </w:rPr>
        <w:t>People ex rel. Calloway v. Skinner</w:t>
      </w:r>
      <w:r w:rsidRPr="00B7681B">
        <w:rPr>
          <w:rFonts w:ascii="Times New Roman" w:eastAsia="Calibri" w:hAnsi="Times New Roman"/>
          <w:sz w:val="24"/>
          <w:szCs w:val="24"/>
        </w:rPr>
        <w:t>, 33 N.Y.2d 23, 31</w:t>
      </w:r>
      <w:r>
        <w:rPr>
          <w:rFonts w:ascii="Times New Roman" w:eastAsia="Calibri" w:hAnsi="Times New Roman"/>
          <w:sz w:val="24"/>
          <w:szCs w:val="24"/>
        </w:rPr>
        <w:t xml:space="preserve"> (1973)</w:t>
      </w:r>
      <w:r w:rsidR="00205790">
        <w:rPr>
          <w:rFonts w:ascii="Times New Roman" w:eastAsia="Calibri" w:hAnsi="Times New Roman"/>
          <w:sz w:val="24"/>
          <w:szCs w:val="24"/>
        </w:rPr>
        <w:t xml:space="preserve">), and </w:t>
      </w:r>
      <w:r w:rsidR="00B23235">
        <w:rPr>
          <w:rFonts w:ascii="Times New Roman" w:eastAsia="Calibri" w:hAnsi="Times New Roman"/>
          <w:sz w:val="24"/>
          <w:szCs w:val="24"/>
        </w:rPr>
        <w:t xml:space="preserve">defendants cannot be effectively fined for not conceding a meritorious (even if unsuccessful) liability defense. </w:t>
      </w:r>
      <w:r w:rsidR="000979A7">
        <w:rPr>
          <w:rFonts w:ascii="Times New Roman" w:eastAsia="Calibri" w:hAnsi="Times New Roman"/>
          <w:sz w:val="24"/>
          <w:szCs w:val="24"/>
        </w:rPr>
        <w:t>Doing so violates “</w:t>
      </w:r>
      <w:r w:rsidR="000979A7" w:rsidRPr="000979A7">
        <w:rPr>
          <w:rFonts w:ascii="Times New Roman" w:eastAsia="Calibri" w:hAnsi="Times New Roman"/>
          <w:sz w:val="24"/>
          <w:szCs w:val="24"/>
        </w:rPr>
        <w:t xml:space="preserve">the familiar proposition that an award of damages to a person injured by the negligence of another is to compensate the victim, not to punish the wrongdoer.” </w:t>
      </w:r>
      <w:r w:rsidR="000979A7" w:rsidRPr="00CB3CEF">
        <w:rPr>
          <w:rFonts w:ascii="Times New Roman" w:eastAsia="Calibri" w:hAnsi="Times New Roman"/>
          <w:sz w:val="24"/>
          <w:szCs w:val="24"/>
          <w:u w:val="single"/>
        </w:rPr>
        <w:t>McDougald v. Garber</w:t>
      </w:r>
      <w:r w:rsidR="000979A7" w:rsidRPr="000979A7">
        <w:rPr>
          <w:rFonts w:ascii="Times New Roman" w:eastAsia="Calibri" w:hAnsi="Times New Roman"/>
          <w:sz w:val="24"/>
          <w:szCs w:val="24"/>
        </w:rPr>
        <w:t>, 73 N.Y.2d 246, 253 (1989).</w:t>
      </w:r>
      <w:r w:rsidR="003B200B">
        <w:rPr>
          <w:rFonts w:ascii="Times New Roman" w:eastAsia="Calibri" w:hAnsi="Times New Roman"/>
          <w:sz w:val="24"/>
          <w:szCs w:val="24"/>
        </w:rPr>
        <w:t xml:space="preserve"> This is especially true when the defendant did nothing “wrong” by </w:t>
      </w:r>
      <w:r w:rsidR="00D63AD3">
        <w:rPr>
          <w:rFonts w:ascii="Times New Roman" w:eastAsia="Calibri" w:hAnsi="Times New Roman"/>
          <w:sz w:val="24"/>
          <w:szCs w:val="24"/>
        </w:rPr>
        <w:t>contesting</w:t>
      </w:r>
      <w:r w:rsidR="002D6742">
        <w:rPr>
          <w:rFonts w:ascii="Times New Roman" w:eastAsia="Calibri" w:hAnsi="Times New Roman"/>
          <w:sz w:val="24"/>
          <w:szCs w:val="24"/>
        </w:rPr>
        <w:t>,</w:t>
      </w:r>
      <w:r w:rsidR="003B200B">
        <w:rPr>
          <w:rFonts w:ascii="Times New Roman" w:eastAsia="Calibri" w:hAnsi="Times New Roman"/>
          <w:sz w:val="24"/>
          <w:szCs w:val="24"/>
        </w:rPr>
        <w:t xml:space="preserve"> rather than conceding</w:t>
      </w:r>
      <w:r w:rsidR="002D6742">
        <w:rPr>
          <w:rFonts w:ascii="Times New Roman" w:eastAsia="Calibri" w:hAnsi="Times New Roman"/>
          <w:sz w:val="24"/>
          <w:szCs w:val="24"/>
        </w:rPr>
        <w:t>,</w:t>
      </w:r>
      <w:r w:rsidR="00D63AD3">
        <w:rPr>
          <w:rFonts w:ascii="Times New Roman" w:eastAsia="Calibri" w:hAnsi="Times New Roman"/>
          <w:sz w:val="24"/>
          <w:szCs w:val="24"/>
        </w:rPr>
        <w:t xml:space="preserve"> liability</w:t>
      </w:r>
      <w:r w:rsidR="003B200B">
        <w:rPr>
          <w:rFonts w:ascii="Times New Roman" w:eastAsia="Calibri" w:hAnsi="Times New Roman"/>
          <w:sz w:val="24"/>
          <w:szCs w:val="24"/>
        </w:rPr>
        <w:t>.</w:t>
      </w:r>
      <w:r w:rsidR="005D2B0A">
        <w:rPr>
          <w:rFonts w:ascii="Times New Roman" w:eastAsia="Calibri" w:hAnsi="Times New Roman"/>
          <w:sz w:val="24"/>
          <w:szCs w:val="24"/>
        </w:rPr>
        <w:t xml:space="preserve"> Such a plaintiff is already </w:t>
      </w:r>
      <w:proofErr w:type="gramStart"/>
      <w:r w:rsidR="005D2B0A">
        <w:rPr>
          <w:rFonts w:ascii="Times New Roman" w:eastAsia="Calibri" w:hAnsi="Times New Roman"/>
          <w:sz w:val="24"/>
          <w:szCs w:val="24"/>
        </w:rPr>
        <w:t>compensated</w:t>
      </w:r>
      <w:proofErr w:type="gramEnd"/>
      <w:r w:rsidR="005D2B0A">
        <w:rPr>
          <w:rFonts w:ascii="Times New Roman" w:eastAsia="Calibri" w:hAnsi="Times New Roman"/>
          <w:sz w:val="24"/>
          <w:szCs w:val="24"/>
        </w:rPr>
        <w:t xml:space="preserve"> for the time spent litigating </w:t>
      </w:r>
      <w:r w:rsidR="002D290A">
        <w:rPr>
          <w:rFonts w:ascii="Times New Roman" w:eastAsia="Calibri" w:hAnsi="Times New Roman"/>
          <w:sz w:val="24"/>
          <w:szCs w:val="24"/>
        </w:rPr>
        <w:t xml:space="preserve">the case by including that time in past damages </w:t>
      </w:r>
      <w:r w:rsidR="00032D83">
        <w:rPr>
          <w:rFonts w:ascii="Times New Roman" w:eastAsia="Calibri" w:hAnsi="Times New Roman"/>
          <w:sz w:val="24"/>
          <w:szCs w:val="24"/>
        </w:rPr>
        <w:t>and prejudgment interest</w:t>
      </w:r>
      <w:r w:rsidR="002D290A">
        <w:rPr>
          <w:rFonts w:ascii="Times New Roman" w:eastAsia="Calibri" w:hAnsi="Times New Roman"/>
          <w:sz w:val="24"/>
          <w:szCs w:val="24"/>
        </w:rPr>
        <w:t xml:space="preserve"> and cannot be given an improper double recovery by awarding more because </w:t>
      </w:r>
      <w:r w:rsidR="007458C5">
        <w:rPr>
          <w:rFonts w:ascii="Times New Roman" w:eastAsia="Calibri" w:hAnsi="Times New Roman"/>
          <w:sz w:val="24"/>
          <w:szCs w:val="24"/>
        </w:rPr>
        <w:t>the case</w:t>
      </w:r>
      <w:r w:rsidR="002D290A">
        <w:rPr>
          <w:rFonts w:ascii="Times New Roman" w:eastAsia="Calibri" w:hAnsi="Times New Roman"/>
          <w:sz w:val="24"/>
          <w:szCs w:val="24"/>
        </w:rPr>
        <w:t xml:space="preserve"> had to be litigated. </w:t>
      </w:r>
      <w:r w:rsidR="00337A58">
        <w:rPr>
          <w:rFonts w:ascii="Times New Roman" w:eastAsia="Calibri" w:hAnsi="Times New Roman"/>
          <w:sz w:val="24"/>
          <w:szCs w:val="24"/>
          <w:u w:val="single"/>
        </w:rPr>
        <w:t>See</w:t>
      </w:r>
      <w:r w:rsidR="00337A58">
        <w:rPr>
          <w:rFonts w:ascii="Times New Roman" w:eastAsia="Calibri" w:hAnsi="Times New Roman"/>
          <w:sz w:val="24"/>
          <w:szCs w:val="24"/>
        </w:rPr>
        <w:t xml:space="preserve"> </w:t>
      </w:r>
      <w:r w:rsidR="00337A58" w:rsidRPr="00CB3CEF">
        <w:rPr>
          <w:rFonts w:ascii="Times New Roman" w:eastAsia="Calibri" w:hAnsi="Times New Roman"/>
          <w:sz w:val="24"/>
          <w:szCs w:val="24"/>
          <w:u w:val="single"/>
        </w:rPr>
        <w:t>Whalen v. Kawasaki Motors Corp.</w:t>
      </w:r>
      <w:r w:rsidR="00337A58" w:rsidRPr="00337A58">
        <w:rPr>
          <w:rFonts w:ascii="Times New Roman" w:eastAsia="Calibri" w:hAnsi="Times New Roman"/>
          <w:sz w:val="24"/>
          <w:szCs w:val="24"/>
        </w:rPr>
        <w:t>, U.S.A., 92 N.Y.2d 288, 292</w:t>
      </w:r>
      <w:r w:rsidR="00337A58">
        <w:rPr>
          <w:rFonts w:ascii="Times New Roman" w:eastAsia="Calibri" w:hAnsi="Times New Roman"/>
          <w:sz w:val="24"/>
          <w:szCs w:val="24"/>
        </w:rPr>
        <w:t xml:space="preserve"> (1998) (“</w:t>
      </w:r>
      <w:r w:rsidR="00337A58" w:rsidRPr="00337A58">
        <w:rPr>
          <w:rFonts w:ascii="Times New Roman" w:eastAsia="Calibri" w:hAnsi="Times New Roman"/>
          <w:sz w:val="24"/>
          <w:szCs w:val="24"/>
        </w:rPr>
        <w:t>the possibility of double recovery should be avoided</w:t>
      </w:r>
      <w:r w:rsidR="00337A58">
        <w:rPr>
          <w:rFonts w:ascii="Times New Roman" w:eastAsia="Calibri" w:hAnsi="Times New Roman"/>
          <w:sz w:val="24"/>
          <w:szCs w:val="24"/>
        </w:rPr>
        <w:t>”).</w:t>
      </w:r>
      <w:r w:rsidR="001B3AD3" w:rsidRPr="003C66EB">
        <w:rPr>
          <w:rFonts w:ascii="Times New Roman" w:eastAsia="Calibri" w:hAnsi="Times New Roman"/>
          <w:sz w:val="24"/>
          <w:szCs w:val="24"/>
          <w:vertAlign w:val="superscript"/>
        </w:rPr>
        <w:footnoteReference w:id="1"/>
      </w:r>
    </w:p>
    <w:p w14:paraId="5A312B38" w14:textId="0F9C30D8" w:rsidR="00C95D90" w:rsidRPr="00F646D9" w:rsidRDefault="00C95D90" w:rsidP="00C95D90">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It is effectively a version of the improper “heads I win, tails you lose” wherein plaintiffs either win by default when the lawsuit is not defended, or defendants lose when they are accused at trial of </w:t>
      </w:r>
      <w:r w:rsidR="00575099">
        <w:rPr>
          <w:rFonts w:ascii="Times New Roman" w:eastAsia="Calibri" w:hAnsi="Times New Roman"/>
          <w:sz w:val="24"/>
          <w:szCs w:val="24"/>
        </w:rPr>
        <w:t>delaying plaintiff’s recovery</w:t>
      </w:r>
      <w:r>
        <w:rPr>
          <w:rFonts w:ascii="Times New Roman" w:eastAsia="Calibri" w:hAnsi="Times New Roman"/>
          <w:sz w:val="24"/>
          <w:szCs w:val="24"/>
        </w:rPr>
        <w:t>. If a plaintiff wishes to establish improper dilatory tactics</w:t>
      </w:r>
      <w:r w:rsidR="009D1D85">
        <w:rPr>
          <w:rFonts w:ascii="Times New Roman" w:eastAsia="Calibri" w:hAnsi="Times New Roman"/>
          <w:sz w:val="24"/>
          <w:szCs w:val="24"/>
        </w:rPr>
        <w:t>,</w:t>
      </w:r>
      <w:r>
        <w:rPr>
          <w:rFonts w:ascii="Times New Roman" w:eastAsia="Calibri" w:hAnsi="Times New Roman"/>
          <w:sz w:val="24"/>
          <w:szCs w:val="24"/>
        </w:rPr>
        <w:t xml:space="preserve"> there </w:t>
      </w:r>
      <w:r w:rsidR="00ED2ECE">
        <w:rPr>
          <w:rFonts w:ascii="Times New Roman" w:eastAsia="Calibri" w:hAnsi="Times New Roman"/>
          <w:sz w:val="24"/>
          <w:szCs w:val="24"/>
        </w:rPr>
        <w:t>is a mechanism</w:t>
      </w:r>
      <w:r>
        <w:rPr>
          <w:rFonts w:ascii="Times New Roman" w:eastAsia="Calibri" w:hAnsi="Times New Roman"/>
          <w:sz w:val="24"/>
          <w:szCs w:val="24"/>
        </w:rPr>
        <w:t xml:space="preserve"> to do so</w:t>
      </w:r>
      <w:r w:rsidR="00ED2ECE">
        <w:rPr>
          <w:rFonts w:ascii="Times New Roman" w:eastAsia="Calibri" w:hAnsi="Times New Roman"/>
          <w:sz w:val="24"/>
          <w:szCs w:val="24"/>
        </w:rPr>
        <w:t xml:space="preserve"> – a sanctions motion for frivolous or vexatious conduct –</w:t>
      </w:r>
      <w:r>
        <w:rPr>
          <w:rFonts w:ascii="Times New Roman" w:eastAsia="Calibri" w:hAnsi="Times New Roman"/>
          <w:sz w:val="24"/>
          <w:szCs w:val="24"/>
        </w:rPr>
        <w:t xml:space="preserve"> </w:t>
      </w:r>
      <w:r w:rsidR="00ED2ECE">
        <w:rPr>
          <w:rFonts w:ascii="Times New Roman" w:eastAsia="Calibri" w:hAnsi="Times New Roman"/>
          <w:sz w:val="24"/>
          <w:szCs w:val="24"/>
        </w:rPr>
        <w:t>not</w:t>
      </w:r>
      <w:r>
        <w:rPr>
          <w:rFonts w:ascii="Times New Roman" w:eastAsia="Calibri" w:hAnsi="Times New Roman"/>
          <w:sz w:val="24"/>
          <w:szCs w:val="24"/>
        </w:rPr>
        <w:t xml:space="preserve"> impugning</w:t>
      </w:r>
      <w:r w:rsidR="0027132F">
        <w:rPr>
          <w:rFonts w:ascii="Times New Roman" w:eastAsia="Calibri" w:hAnsi="Times New Roman"/>
          <w:sz w:val="24"/>
          <w:szCs w:val="24"/>
        </w:rPr>
        <w:t xml:space="preserve"> a defendant</w:t>
      </w:r>
      <w:r w:rsidR="00B2643B">
        <w:rPr>
          <w:rFonts w:ascii="Times New Roman" w:eastAsia="Calibri" w:hAnsi="Times New Roman"/>
          <w:sz w:val="24"/>
          <w:szCs w:val="24"/>
        </w:rPr>
        <w:t xml:space="preserve"> for challenging plaintiff’s liability claims and defending itself before</w:t>
      </w:r>
      <w:r w:rsidR="00C63F6B">
        <w:rPr>
          <w:rFonts w:ascii="Times New Roman" w:eastAsia="Calibri" w:hAnsi="Times New Roman"/>
          <w:sz w:val="24"/>
          <w:szCs w:val="24"/>
        </w:rPr>
        <w:t xml:space="preserve"> a jury to which it is constitutionally entitled</w:t>
      </w:r>
      <w:r>
        <w:rPr>
          <w:rFonts w:ascii="Times New Roman" w:eastAsia="Calibri" w:hAnsi="Times New Roman"/>
          <w:sz w:val="24"/>
          <w:szCs w:val="24"/>
        </w:rPr>
        <w:t>.</w:t>
      </w:r>
      <w:r w:rsidR="000C44C5">
        <w:rPr>
          <w:rFonts w:ascii="Times New Roman" w:eastAsia="Calibri" w:hAnsi="Times New Roman"/>
          <w:sz w:val="24"/>
          <w:szCs w:val="24"/>
        </w:rPr>
        <w:t xml:space="preserve"> “Failure to take responsibility” tropes permit plaintiffs to accuse defendants of wrongdoing without having to prove it.</w:t>
      </w:r>
      <w:r>
        <w:rPr>
          <w:rFonts w:ascii="Times New Roman" w:eastAsia="Calibri" w:hAnsi="Times New Roman"/>
          <w:sz w:val="24"/>
          <w:szCs w:val="24"/>
        </w:rPr>
        <w:t xml:space="preserve"> </w:t>
      </w:r>
      <w:r>
        <w:rPr>
          <w:rFonts w:ascii="Times New Roman" w:eastAsia="Calibri" w:hAnsi="Times New Roman"/>
          <w:sz w:val="24"/>
          <w:szCs w:val="24"/>
          <w:u w:val="single"/>
        </w:rPr>
        <w:t>See</w:t>
      </w:r>
      <w:r>
        <w:rPr>
          <w:rFonts w:ascii="Times New Roman" w:eastAsia="Calibri" w:hAnsi="Times New Roman"/>
          <w:sz w:val="24"/>
          <w:szCs w:val="24"/>
        </w:rPr>
        <w:t xml:space="preserve"> </w:t>
      </w:r>
      <w:r w:rsidRPr="00C62832">
        <w:rPr>
          <w:rFonts w:ascii="Times New Roman" w:eastAsia="Calibri" w:hAnsi="Times New Roman"/>
          <w:sz w:val="24"/>
          <w:szCs w:val="24"/>
          <w:u w:val="single"/>
        </w:rPr>
        <w:t>Andrew v</w:t>
      </w:r>
      <w:r>
        <w:rPr>
          <w:rFonts w:ascii="Times New Roman" w:eastAsia="Calibri" w:hAnsi="Times New Roman"/>
          <w:sz w:val="24"/>
          <w:szCs w:val="24"/>
          <w:u w:val="single"/>
        </w:rPr>
        <w:t>.</w:t>
      </w:r>
      <w:r w:rsidRPr="00C62832">
        <w:rPr>
          <w:rFonts w:ascii="Times New Roman" w:eastAsia="Calibri" w:hAnsi="Times New Roman"/>
          <w:sz w:val="24"/>
          <w:szCs w:val="24"/>
          <w:u w:val="single"/>
        </w:rPr>
        <w:t xml:space="preserve"> </w:t>
      </w:r>
      <w:proofErr w:type="spellStart"/>
      <w:r w:rsidRPr="00C62832">
        <w:rPr>
          <w:rFonts w:ascii="Times New Roman" w:eastAsia="Calibri" w:hAnsi="Times New Roman"/>
          <w:sz w:val="24"/>
          <w:szCs w:val="24"/>
          <w:u w:val="single"/>
        </w:rPr>
        <w:t>Kerendian</w:t>
      </w:r>
      <w:proofErr w:type="spellEnd"/>
      <w:r w:rsidRPr="00F646D9">
        <w:rPr>
          <w:rFonts w:ascii="Times New Roman" w:eastAsia="Calibri" w:hAnsi="Times New Roman"/>
          <w:sz w:val="24"/>
          <w:szCs w:val="24"/>
        </w:rPr>
        <w:t>, 130 A.D.3d 951, 952</w:t>
      </w:r>
      <w:r>
        <w:rPr>
          <w:rFonts w:ascii="Times New Roman" w:eastAsia="Calibri" w:hAnsi="Times New Roman"/>
          <w:sz w:val="24"/>
          <w:szCs w:val="24"/>
        </w:rPr>
        <w:t xml:space="preserve"> (2d </w:t>
      </w:r>
      <w:proofErr w:type="spellStart"/>
      <w:r>
        <w:rPr>
          <w:rFonts w:ascii="Times New Roman" w:eastAsia="Calibri" w:hAnsi="Times New Roman"/>
          <w:sz w:val="24"/>
          <w:szCs w:val="24"/>
        </w:rPr>
        <w:t>Dep</w:t>
      </w:r>
      <w:r w:rsidR="00ED2ECE">
        <w:rPr>
          <w:rFonts w:ascii="Times New Roman" w:eastAsia="Calibri" w:hAnsi="Times New Roman"/>
          <w:sz w:val="24"/>
          <w:szCs w:val="24"/>
        </w:rPr>
        <w:t>’t</w:t>
      </w:r>
      <w:proofErr w:type="spellEnd"/>
      <w:r>
        <w:rPr>
          <w:rFonts w:ascii="Times New Roman" w:eastAsia="Calibri" w:hAnsi="Times New Roman"/>
          <w:sz w:val="24"/>
          <w:szCs w:val="24"/>
        </w:rPr>
        <w:t xml:space="preserve"> 2015); </w:t>
      </w:r>
      <w:r w:rsidRPr="00C62832">
        <w:rPr>
          <w:rFonts w:ascii="Times New Roman" w:eastAsia="Calibri" w:hAnsi="Times New Roman"/>
          <w:sz w:val="24"/>
          <w:szCs w:val="24"/>
          <w:u w:val="single"/>
        </w:rPr>
        <w:t>Bogan v. Royal Realty Co.</w:t>
      </w:r>
      <w:r w:rsidRPr="00F646D9">
        <w:rPr>
          <w:rFonts w:ascii="Times New Roman" w:eastAsia="Calibri" w:hAnsi="Times New Roman"/>
          <w:sz w:val="24"/>
          <w:szCs w:val="24"/>
        </w:rPr>
        <w:t>, 209</w:t>
      </w:r>
      <w:r w:rsidR="000E6943">
        <w:rPr>
          <w:rFonts w:ascii="Times New Roman" w:eastAsia="Calibri" w:hAnsi="Times New Roman"/>
          <w:sz w:val="24"/>
          <w:szCs w:val="24"/>
        </w:rPr>
        <w:t> </w:t>
      </w:r>
      <w:r w:rsidRPr="00F646D9">
        <w:rPr>
          <w:rFonts w:ascii="Times New Roman" w:eastAsia="Calibri" w:hAnsi="Times New Roman"/>
          <w:sz w:val="24"/>
          <w:szCs w:val="24"/>
        </w:rPr>
        <w:t>A.D.2d 178, 178</w:t>
      </w:r>
      <w:r>
        <w:rPr>
          <w:rFonts w:ascii="Times New Roman" w:eastAsia="Calibri" w:hAnsi="Times New Roman"/>
          <w:sz w:val="24"/>
          <w:szCs w:val="24"/>
        </w:rPr>
        <w:t xml:space="preserve"> (1st </w:t>
      </w:r>
      <w:proofErr w:type="spellStart"/>
      <w:r>
        <w:rPr>
          <w:rFonts w:ascii="Times New Roman" w:eastAsia="Calibri" w:hAnsi="Times New Roman"/>
          <w:sz w:val="24"/>
          <w:szCs w:val="24"/>
        </w:rPr>
        <w:t>Dep</w:t>
      </w:r>
      <w:r w:rsidR="00ED2ECE">
        <w:rPr>
          <w:rFonts w:ascii="Times New Roman" w:eastAsia="Calibri" w:hAnsi="Times New Roman"/>
          <w:sz w:val="24"/>
          <w:szCs w:val="24"/>
        </w:rPr>
        <w:t>’t</w:t>
      </w:r>
      <w:proofErr w:type="spellEnd"/>
      <w:r>
        <w:rPr>
          <w:rFonts w:ascii="Times New Roman" w:eastAsia="Calibri" w:hAnsi="Times New Roman"/>
          <w:sz w:val="24"/>
          <w:szCs w:val="24"/>
        </w:rPr>
        <w:t xml:space="preserve"> 1994). </w:t>
      </w:r>
    </w:p>
    <w:p w14:paraId="522B0DC1" w14:textId="43CDF7D7" w:rsidR="009F263A" w:rsidRDefault="00E1310A" w:rsidP="009F263A">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Such comments and related</w:t>
      </w:r>
      <w:r w:rsidR="003C66EB" w:rsidRPr="003C66EB">
        <w:rPr>
          <w:rFonts w:ascii="Times New Roman" w:eastAsia="Calibri" w:hAnsi="Times New Roman"/>
          <w:sz w:val="24"/>
          <w:szCs w:val="24"/>
        </w:rPr>
        <w:t xml:space="preserve"> HDTD (“how dare they defend”) attack</w:t>
      </w:r>
      <w:r w:rsidR="001C1F17">
        <w:rPr>
          <w:rFonts w:ascii="Times New Roman" w:eastAsia="Calibri" w:hAnsi="Times New Roman"/>
          <w:sz w:val="24"/>
          <w:szCs w:val="24"/>
        </w:rPr>
        <w:t>s</w:t>
      </w:r>
      <w:r w:rsidR="003C66EB" w:rsidRPr="003C66EB">
        <w:rPr>
          <w:rFonts w:ascii="Times New Roman" w:eastAsia="Calibri" w:hAnsi="Times New Roman"/>
          <w:sz w:val="24"/>
          <w:szCs w:val="24"/>
        </w:rPr>
        <w:t xml:space="preserve"> </w:t>
      </w:r>
      <w:r w:rsidR="001C1F17">
        <w:rPr>
          <w:rFonts w:ascii="Times New Roman" w:eastAsia="Calibri" w:hAnsi="Times New Roman"/>
          <w:sz w:val="24"/>
          <w:szCs w:val="24"/>
        </w:rPr>
        <w:t>are</w:t>
      </w:r>
      <w:r w:rsidR="006E0F38">
        <w:rPr>
          <w:rFonts w:ascii="Times New Roman" w:eastAsia="Calibri" w:hAnsi="Times New Roman"/>
          <w:sz w:val="24"/>
          <w:szCs w:val="24"/>
        </w:rPr>
        <w:t xml:space="preserve"> equivalent</w:t>
      </w:r>
      <w:r w:rsidR="003C66EB" w:rsidRPr="003C66EB">
        <w:rPr>
          <w:rFonts w:ascii="Times New Roman" w:eastAsia="Calibri" w:hAnsi="Times New Roman"/>
          <w:sz w:val="24"/>
          <w:szCs w:val="24"/>
        </w:rPr>
        <w:t xml:space="preserve"> to a defendant attacking a plaintiff for having the audacity to bring a personal injury lawsuit and seeking a winning lottery ticket and</w:t>
      </w:r>
      <w:r w:rsidR="00F52ABC">
        <w:rPr>
          <w:rFonts w:ascii="Times New Roman" w:eastAsia="Calibri" w:hAnsi="Times New Roman"/>
          <w:sz w:val="24"/>
          <w:szCs w:val="24"/>
        </w:rPr>
        <w:t xml:space="preserve"> </w:t>
      </w:r>
      <w:r w:rsidR="00A817AB">
        <w:rPr>
          <w:rFonts w:ascii="Times New Roman" w:eastAsia="Calibri" w:hAnsi="Times New Roman"/>
          <w:sz w:val="24"/>
          <w:szCs w:val="24"/>
        </w:rPr>
        <w:t xml:space="preserve">consequently </w:t>
      </w:r>
      <w:r w:rsidR="00F52ABC">
        <w:rPr>
          <w:rFonts w:ascii="Times New Roman" w:eastAsia="Calibri" w:hAnsi="Times New Roman"/>
          <w:sz w:val="24"/>
          <w:szCs w:val="24"/>
        </w:rPr>
        <w:t>require the same intolerance from the Court</w:t>
      </w:r>
      <w:r w:rsidR="003C66EB" w:rsidRPr="003C66EB">
        <w:rPr>
          <w:rFonts w:ascii="Times New Roman" w:eastAsia="Calibri" w:hAnsi="Times New Roman"/>
          <w:sz w:val="24"/>
          <w:szCs w:val="24"/>
        </w:rPr>
        <w:t>.</w:t>
      </w:r>
      <w:r w:rsidR="00F959A1" w:rsidRPr="00F959A1">
        <w:rPr>
          <w:rStyle w:val="FootnoteReference"/>
          <w:rFonts w:ascii="Times New Roman" w:eastAsia="Calibri" w:hAnsi="Times New Roman"/>
          <w:sz w:val="24"/>
          <w:szCs w:val="24"/>
        </w:rPr>
        <w:t xml:space="preserve"> </w:t>
      </w:r>
      <w:r w:rsidR="003C66EB" w:rsidRPr="003C66EB">
        <w:rPr>
          <w:rFonts w:ascii="Times New Roman" w:eastAsia="Calibri" w:hAnsi="Times New Roman"/>
          <w:sz w:val="24"/>
          <w:szCs w:val="24"/>
          <w:u w:val="single"/>
        </w:rPr>
        <w:t>See</w:t>
      </w:r>
      <w:r w:rsidR="003C66EB" w:rsidRPr="003C66EB">
        <w:rPr>
          <w:rFonts w:ascii="Times New Roman" w:eastAsia="Calibri" w:hAnsi="Times New Roman"/>
          <w:sz w:val="24"/>
          <w:szCs w:val="24"/>
        </w:rPr>
        <w:t xml:space="preserve"> </w:t>
      </w:r>
      <w:r w:rsidR="003C66EB" w:rsidRPr="003C66EB">
        <w:rPr>
          <w:rFonts w:ascii="Times New Roman" w:eastAsia="Calibri" w:hAnsi="Times New Roman"/>
          <w:sz w:val="24"/>
          <w:szCs w:val="24"/>
          <w:u w:val="single"/>
        </w:rPr>
        <w:t>Smith v. Rudolph</w:t>
      </w:r>
      <w:r w:rsidR="003C66EB" w:rsidRPr="003C66EB">
        <w:rPr>
          <w:rFonts w:ascii="Times New Roman" w:eastAsia="Calibri" w:hAnsi="Times New Roman"/>
          <w:sz w:val="24"/>
          <w:szCs w:val="24"/>
        </w:rPr>
        <w:t xml:space="preserve">, 151 A.D.3d 58, 63 (1st </w:t>
      </w:r>
      <w:proofErr w:type="spellStart"/>
      <w:r w:rsidR="003C66EB" w:rsidRPr="003C66EB">
        <w:rPr>
          <w:rFonts w:ascii="Times New Roman" w:eastAsia="Calibri" w:hAnsi="Times New Roman"/>
          <w:sz w:val="24"/>
          <w:szCs w:val="24"/>
        </w:rPr>
        <w:t>Dep’t</w:t>
      </w:r>
      <w:proofErr w:type="spellEnd"/>
      <w:r w:rsidR="003C66EB" w:rsidRPr="003C66EB">
        <w:rPr>
          <w:rFonts w:ascii="Times New Roman" w:eastAsia="Calibri" w:hAnsi="Times New Roman"/>
          <w:sz w:val="24"/>
          <w:szCs w:val="24"/>
        </w:rPr>
        <w:t xml:space="preserve"> 2017) (affirming grant of new trial in favor of plaintiff on basis of defense counsel’s improper comments [despite absence of objection or mistrial application] including “counsel’s assertion of his personal view that plaintiff was pursuing the lawsuit only because she wanted to ‘take the rest of her life off.’”).</w:t>
      </w:r>
      <w:r w:rsidR="003C66EB" w:rsidRPr="003C66EB">
        <w:rPr>
          <w:rStyle w:val="FootnoteReference"/>
          <w:rFonts w:ascii="Times New Roman" w:eastAsia="Calibri" w:hAnsi="Times New Roman"/>
          <w:sz w:val="24"/>
          <w:szCs w:val="24"/>
        </w:rPr>
        <w:footnoteReference w:id="2"/>
      </w:r>
      <w:r w:rsidR="003C66EB" w:rsidRPr="003C66EB">
        <w:rPr>
          <w:rFonts w:ascii="Times New Roman" w:eastAsia="Calibri" w:hAnsi="Times New Roman"/>
          <w:sz w:val="24"/>
          <w:szCs w:val="24"/>
        </w:rPr>
        <w:t xml:space="preserve"> Indeed, if “Counsel’s personal beliefs regarding plaintiff’s motive for suing had no place in his argument to the jury” (</w:t>
      </w:r>
      <w:r w:rsidR="003C66EB" w:rsidRPr="003C66EB">
        <w:rPr>
          <w:rFonts w:ascii="Times New Roman" w:eastAsia="Calibri" w:hAnsi="Times New Roman"/>
          <w:sz w:val="24"/>
          <w:szCs w:val="24"/>
          <w:u w:val="single"/>
        </w:rPr>
        <w:t>Smith</w:t>
      </w:r>
      <w:r w:rsidR="003C66EB" w:rsidRPr="003C66EB">
        <w:rPr>
          <w:rFonts w:ascii="Times New Roman" w:eastAsia="Calibri" w:hAnsi="Times New Roman"/>
          <w:sz w:val="24"/>
          <w:szCs w:val="24"/>
        </w:rPr>
        <w:t xml:space="preserve">, </w:t>
      </w:r>
      <w:r w:rsidR="003C66EB" w:rsidRPr="003C66EB">
        <w:rPr>
          <w:rFonts w:ascii="Times New Roman" w:eastAsia="Calibri" w:hAnsi="Times New Roman"/>
          <w:sz w:val="24"/>
          <w:szCs w:val="24"/>
          <w:u w:val="single"/>
        </w:rPr>
        <w:t>supra</w:t>
      </w:r>
      <w:r w:rsidR="003C66EB" w:rsidRPr="003C66EB">
        <w:rPr>
          <w:rFonts w:ascii="Times New Roman" w:eastAsia="Calibri" w:hAnsi="Times New Roman"/>
          <w:sz w:val="24"/>
          <w:szCs w:val="24"/>
        </w:rPr>
        <w:t xml:space="preserve"> at 65), then plaintiff’s counsel’s personal beliefs regarding defendant’s motive for defending itself likewise have no place</w:t>
      </w:r>
      <w:r w:rsidR="006073BD">
        <w:rPr>
          <w:rFonts w:ascii="Times New Roman" w:eastAsia="Calibri" w:hAnsi="Times New Roman"/>
          <w:sz w:val="24"/>
          <w:szCs w:val="24"/>
        </w:rPr>
        <w:t xml:space="preserve"> before </w:t>
      </w:r>
      <w:r w:rsidR="003C66EB" w:rsidRPr="003C66EB">
        <w:rPr>
          <w:rFonts w:ascii="Times New Roman" w:eastAsia="Calibri" w:hAnsi="Times New Roman"/>
          <w:sz w:val="24"/>
          <w:szCs w:val="24"/>
        </w:rPr>
        <w:t>the jury.</w:t>
      </w:r>
    </w:p>
    <w:p w14:paraId="0C703295" w14:textId="5F5A03DF" w:rsidR="003C66EB" w:rsidRPr="003C66EB" w:rsidRDefault="003C66EB" w:rsidP="003C66EB">
      <w:pPr>
        <w:spacing w:after="0" w:line="480" w:lineRule="auto"/>
        <w:ind w:firstLine="720"/>
        <w:jc w:val="both"/>
        <w:rPr>
          <w:rFonts w:ascii="Times New Roman" w:eastAsia="Calibri" w:hAnsi="Times New Roman"/>
          <w:sz w:val="24"/>
          <w:szCs w:val="24"/>
        </w:rPr>
      </w:pPr>
      <w:r w:rsidRPr="003C66EB">
        <w:rPr>
          <w:rFonts w:ascii="Times New Roman" w:eastAsia="Calibri" w:hAnsi="Times New Roman"/>
          <w:sz w:val="24"/>
          <w:szCs w:val="24"/>
        </w:rPr>
        <w:t>In New York, and country-wide,</w:t>
      </w:r>
      <w:r w:rsidRPr="003C66EB">
        <w:rPr>
          <w:rFonts w:ascii="Times New Roman" w:eastAsia="Calibri" w:hAnsi="Times New Roman"/>
          <w:sz w:val="24"/>
          <w:szCs w:val="24"/>
          <w:vertAlign w:val="superscript"/>
        </w:rPr>
        <w:footnoteReference w:id="3"/>
      </w:r>
      <w:r w:rsidRPr="003C66EB">
        <w:rPr>
          <w:rFonts w:ascii="Times New Roman" w:eastAsia="Calibri" w:hAnsi="Times New Roman"/>
          <w:sz w:val="24"/>
          <w:szCs w:val="24"/>
        </w:rPr>
        <w:t xml:space="preserve"> case law unanimously confirms the impropriety of </w:t>
      </w:r>
      <w:r w:rsidR="00276E76">
        <w:rPr>
          <w:rFonts w:ascii="Times New Roman" w:eastAsia="Calibri" w:hAnsi="Times New Roman"/>
          <w:sz w:val="24"/>
          <w:szCs w:val="24"/>
        </w:rPr>
        <w:t xml:space="preserve">attacks on </w:t>
      </w:r>
      <w:r w:rsidRPr="003C66EB">
        <w:rPr>
          <w:rFonts w:ascii="Times New Roman" w:eastAsia="Calibri" w:hAnsi="Times New Roman"/>
          <w:sz w:val="24"/>
          <w:szCs w:val="24"/>
        </w:rPr>
        <w:t>a tort defendant for its failure to a</w:t>
      </w:r>
      <w:r w:rsidR="00F36031">
        <w:rPr>
          <w:rFonts w:ascii="Times New Roman" w:eastAsia="Calibri" w:hAnsi="Times New Roman"/>
          <w:sz w:val="24"/>
          <w:szCs w:val="24"/>
        </w:rPr>
        <w:t>ccept</w:t>
      </w:r>
      <w:r w:rsidRPr="003C66EB">
        <w:rPr>
          <w:rFonts w:ascii="Times New Roman" w:eastAsia="Calibri" w:hAnsi="Times New Roman"/>
          <w:sz w:val="24"/>
          <w:szCs w:val="24"/>
        </w:rPr>
        <w:t xml:space="preserve"> responsibility.</w:t>
      </w:r>
      <w:r w:rsidR="00FA1820">
        <w:rPr>
          <w:rFonts w:ascii="Times New Roman" w:eastAsia="Calibri" w:hAnsi="Times New Roman"/>
          <w:sz w:val="24"/>
          <w:szCs w:val="24"/>
        </w:rPr>
        <w:t xml:space="preserve"> Two examples illustrate the point</w:t>
      </w:r>
      <w:r w:rsidR="003C179F">
        <w:rPr>
          <w:rFonts w:ascii="Times New Roman" w:eastAsia="Calibri" w:hAnsi="Times New Roman"/>
          <w:sz w:val="24"/>
          <w:szCs w:val="24"/>
        </w:rPr>
        <w:t>:</w:t>
      </w:r>
      <w:r w:rsidR="00FA1820">
        <w:rPr>
          <w:rFonts w:ascii="Times New Roman" w:eastAsia="Calibri" w:hAnsi="Times New Roman"/>
          <w:sz w:val="24"/>
          <w:szCs w:val="24"/>
        </w:rPr>
        <w:t xml:space="preserve"> </w:t>
      </w:r>
      <w:r w:rsidR="00FA1820" w:rsidRPr="00FA1820">
        <w:rPr>
          <w:rFonts w:ascii="Times New Roman" w:eastAsia="Calibri" w:hAnsi="Times New Roman"/>
          <w:sz w:val="24"/>
          <w:szCs w:val="24"/>
        </w:rPr>
        <w:t>“The plaintiff’s comments as to the defendants’ delay in conceding liability were improper.”</w:t>
      </w:r>
      <w:r w:rsidR="00FA1820">
        <w:rPr>
          <w:rFonts w:ascii="Times New Roman" w:eastAsia="Calibri" w:hAnsi="Times New Roman"/>
          <w:sz w:val="24"/>
          <w:szCs w:val="24"/>
        </w:rPr>
        <w:t xml:space="preserve"> </w:t>
      </w:r>
      <w:r w:rsidR="00FA1820" w:rsidRPr="00FA1820">
        <w:rPr>
          <w:rFonts w:ascii="Times New Roman" w:eastAsia="Calibri" w:hAnsi="Times New Roman"/>
          <w:sz w:val="24"/>
          <w:szCs w:val="24"/>
          <w:u w:val="single"/>
        </w:rPr>
        <w:t xml:space="preserve">Wilt v. </w:t>
      </w:r>
      <w:proofErr w:type="spellStart"/>
      <w:r w:rsidR="00FA1820" w:rsidRPr="00FA1820">
        <w:rPr>
          <w:rFonts w:ascii="Times New Roman" w:eastAsia="Calibri" w:hAnsi="Times New Roman"/>
          <w:sz w:val="24"/>
          <w:szCs w:val="24"/>
          <w:u w:val="single"/>
        </w:rPr>
        <w:t>Montvel</w:t>
      </w:r>
      <w:proofErr w:type="spellEnd"/>
      <w:r w:rsidR="00FA1820" w:rsidRPr="00FA1820">
        <w:rPr>
          <w:rFonts w:ascii="Times New Roman" w:eastAsia="Calibri" w:hAnsi="Times New Roman"/>
          <w:sz w:val="24"/>
          <w:szCs w:val="24"/>
          <w:u w:val="single"/>
        </w:rPr>
        <w:t>-Cohen</w:t>
      </w:r>
      <w:r w:rsidR="00FA1820" w:rsidRPr="00FA1820">
        <w:rPr>
          <w:rFonts w:ascii="Times New Roman" w:eastAsia="Calibri" w:hAnsi="Times New Roman"/>
          <w:sz w:val="24"/>
          <w:szCs w:val="24"/>
        </w:rPr>
        <w:t>, 197 A.D.3d 1133 (2d</w:t>
      </w:r>
      <w:r w:rsidR="000E6943">
        <w:rPr>
          <w:rFonts w:ascii="Times New Roman" w:eastAsia="Calibri" w:hAnsi="Times New Roman"/>
          <w:sz w:val="24"/>
          <w:szCs w:val="24"/>
        </w:rPr>
        <w:t> </w:t>
      </w:r>
      <w:proofErr w:type="spellStart"/>
      <w:r w:rsidR="00FA1820" w:rsidRPr="00FA1820">
        <w:rPr>
          <w:rFonts w:ascii="Times New Roman" w:eastAsia="Calibri" w:hAnsi="Times New Roman"/>
          <w:sz w:val="24"/>
          <w:szCs w:val="24"/>
        </w:rPr>
        <w:t>Dep’t</w:t>
      </w:r>
      <w:proofErr w:type="spellEnd"/>
      <w:r w:rsidR="000E6943">
        <w:rPr>
          <w:rFonts w:ascii="Times New Roman" w:eastAsia="Calibri" w:hAnsi="Times New Roman"/>
          <w:sz w:val="24"/>
          <w:szCs w:val="24"/>
        </w:rPr>
        <w:t> </w:t>
      </w:r>
      <w:r w:rsidR="00FA1820" w:rsidRPr="00FA1820">
        <w:rPr>
          <w:rFonts w:ascii="Times New Roman" w:eastAsia="Calibri" w:hAnsi="Times New Roman"/>
          <w:sz w:val="24"/>
          <w:szCs w:val="24"/>
        </w:rPr>
        <w:t>2021)</w:t>
      </w:r>
      <w:r w:rsidR="00FA1820">
        <w:rPr>
          <w:rFonts w:ascii="Times New Roman" w:eastAsia="Calibri" w:hAnsi="Times New Roman"/>
          <w:sz w:val="24"/>
          <w:szCs w:val="24"/>
        </w:rPr>
        <w:t>.</w:t>
      </w:r>
      <w:r w:rsidRPr="003C66EB">
        <w:rPr>
          <w:rFonts w:ascii="Times New Roman" w:eastAsia="Calibri" w:hAnsi="Times New Roman"/>
          <w:sz w:val="24"/>
          <w:szCs w:val="24"/>
        </w:rPr>
        <w:t xml:space="preserve"> </w:t>
      </w:r>
      <w:r w:rsidR="003C179F">
        <w:rPr>
          <w:rFonts w:ascii="Times New Roman" w:eastAsia="Calibri" w:hAnsi="Times New Roman"/>
          <w:sz w:val="24"/>
          <w:szCs w:val="24"/>
        </w:rPr>
        <w:t>And, a</w:t>
      </w:r>
      <w:r w:rsidRPr="003C66EB">
        <w:rPr>
          <w:rFonts w:ascii="Times New Roman" w:eastAsia="Calibri" w:hAnsi="Times New Roman"/>
          <w:sz w:val="24"/>
          <w:szCs w:val="24"/>
        </w:rPr>
        <w:t xml:space="preserve">s </w:t>
      </w:r>
      <w:r w:rsidR="004E5D4F">
        <w:rPr>
          <w:rFonts w:ascii="Times New Roman" w:eastAsia="Calibri" w:hAnsi="Times New Roman"/>
          <w:sz w:val="24"/>
          <w:szCs w:val="24"/>
        </w:rPr>
        <w:t>aptly phrased</w:t>
      </w:r>
      <w:r w:rsidRPr="003C66EB">
        <w:rPr>
          <w:rFonts w:ascii="Times New Roman" w:eastAsia="Calibri" w:hAnsi="Times New Roman"/>
          <w:sz w:val="24"/>
          <w:szCs w:val="24"/>
        </w:rPr>
        <w:t xml:space="preserve"> in </w:t>
      </w:r>
      <w:bookmarkStart w:id="1" w:name="_Hlk72925583"/>
      <w:r w:rsidRPr="003C66EB">
        <w:rPr>
          <w:rFonts w:ascii="Times New Roman" w:eastAsia="Calibri" w:hAnsi="Times New Roman"/>
          <w:sz w:val="24"/>
          <w:szCs w:val="24"/>
          <w:u w:val="single"/>
        </w:rPr>
        <w:t>Burkert v. Holcomb Bus Serv., Inc.</w:t>
      </w:r>
      <w:r w:rsidRPr="003C66EB">
        <w:rPr>
          <w:rFonts w:ascii="Times New Roman" w:eastAsia="Calibri" w:hAnsi="Times New Roman"/>
          <w:sz w:val="24"/>
          <w:szCs w:val="24"/>
        </w:rPr>
        <w:t>, No. A-0874-13T2, 2015 N.J. Super. LEXIS 1095, at *22 (N.J. Super. Ct. May 13, 2015), “[b]</w:t>
      </w:r>
      <w:proofErr w:type="spellStart"/>
      <w:r w:rsidRPr="003C66EB">
        <w:rPr>
          <w:rFonts w:ascii="Times New Roman" w:eastAsia="Calibri" w:hAnsi="Times New Roman"/>
          <w:sz w:val="24"/>
          <w:szCs w:val="24"/>
        </w:rPr>
        <w:t>oth</w:t>
      </w:r>
      <w:proofErr w:type="spellEnd"/>
      <w:r w:rsidRPr="003C66EB">
        <w:rPr>
          <w:rFonts w:ascii="Times New Roman" w:eastAsia="Calibri" w:hAnsi="Times New Roman"/>
          <w:sz w:val="24"/>
          <w:szCs w:val="24"/>
        </w:rPr>
        <w:t xml:space="preserve"> in opening and in closing, plaintiff’s counsel repeatedly suggested defendant wrongfully ‘refused to take responsibility’ . . . Defendant, as well as plaintiff, has a right to air its position before an impartial factfinder for determination. The exercise of that right must not be portrayed as offensive or warranting punishment.”</w:t>
      </w:r>
      <w:bookmarkEnd w:id="1"/>
    </w:p>
    <w:p w14:paraId="145366C1" w14:textId="3A6FA303" w:rsidR="00FE331B" w:rsidRDefault="003C66EB" w:rsidP="00DF336D">
      <w:pPr>
        <w:spacing w:after="0" w:line="480" w:lineRule="auto"/>
        <w:ind w:firstLine="720"/>
        <w:jc w:val="both"/>
        <w:rPr>
          <w:rFonts w:ascii="Times New Roman" w:eastAsia="Calibri" w:hAnsi="Times New Roman"/>
          <w:sz w:val="24"/>
          <w:szCs w:val="24"/>
        </w:rPr>
      </w:pPr>
      <w:r w:rsidRPr="003C66EB">
        <w:rPr>
          <w:rFonts w:ascii="Times New Roman" w:eastAsia="Calibri" w:hAnsi="Times New Roman"/>
          <w:sz w:val="24"/>
          <w:szCs w:val="24"/>
        </w:rPr>
        <w:t>Hence</w:t>
      </w:r>
      <w:r w:rsidR="000503EF">
        <w:rPr>
          <w:rFonts w:ascii="Times New Roman" w:eastAsia="Calibri" w:hAnsi="Times New Roman"/>
          <w:sz w:val="24"/>
          <w:szCs w:val="24"/>
        </w:rPr>
        <w:t>, having not obtained (or even sought) sanctions for defending frivolously</w:t>
      </w:r>
      <w:r w:rsidRPr="003C66EB">
        <w:rPr>
          <w:rFonts w:ascii="Times New Roman" w:eastAsia="Calibri" w:hAnsi="Times New Roman"/>
          <w:sz w:val="24"/>
          <w:szCs w:val="24"/>
        </w:rPr>
        <w:t xml:space="preserve">, plaintiff’s counsel must be precluded from telegraphing, implicitly or otherwise, that defendants’ exercise of their constitutional right to seek a fair jury determination on the issue of damages or injury causation is improper or distasteful in any way. Likewise, counsel must be precluded from arguing that, by litigating damages or causation, defendants are “refusing” or “failing” to “take responsibility” or “victim-blaming”. </w:t>
      </w:r>
      <w:r w:rsidR="00FE331B">
        <w:rPr>
          <w:rFonts w:ascii="Times New Roman" w:eastAsia="Calibri" w:hAnsi="Times New Roman"/>
          <w:sz w:val="24"/>
          <w:szCs w:val="24"/>
        </w:rPr>
        <w:t>If the right to a jury trial means anythin</w:t>
      </w:r>
      <w:r w:rsidR="008A6D75">
        <w:rPr>
          <w:rFonts w:ascii="Times New Roman" w:eastAsia="Calibri" w:hAnsi="Times New Roman"/>
          <w:sz w:val="24"/>
          <w:szCs w:val="24"/>
        </w:rPr>
        <w:t xml:space="preserve">g, it means not being </w:t>
      </w:r>
      <w:r w:rsidR="00C51F23">
        <w:rPr>
          <w:rFonts w:ascii="Times New Roman" w:eastAsia="Calibri" w:hAnsi="Times New Roman"/>
          <w:sz w:val="24"/>
          <w:szCs w:val="24"/>
        </w:rPr>
        <w:t>maligned</w:t>
      </w:r>
      <w:r w:rsidR="008A6D75">
        <w:rPr>
          <w:rFonts w:ascii="Times New Roman" w:eastAsia="Calibri" w:hAnsi="Times New Roman"/>
          <w:sz w:val="24"/>
          <w:szCs w:val="24"/>
        </w:rPr>
        <w:t xml:space="preserve"> </w:t>
      </w:r>
      <w:r w:rsidR="00C51F23">
        <w:rPr>
          <w:rFonts w:ascii="Times New Roman" w:eastAsia="Calibri" w:hAnsi="Times New Roman"/>
          <w:sz w:val="24"/>
          <w:szCs w:val="24"/>
        </w:rPr>
        <w:t>by</w:t>
      </w:r>
      <w:r w:rsidR="008A6D75">
        <w:rPr>
          <w:rFonts w:ascii="Times New Roman" w:eastAsia="Calibri" w:hAnsi="Times New Roman"/>
          <w:sz w:val="24"/>
          <w:szCs w:val="24"/>
        </w:rPr>
        <w:t xml:space="preserve"> the jury for calling upon its service. </w:t>
      </w:r>
    </w:p>
    <w:p w14:paraId="59D50B1A" w14:textId="3118B8D4" w:rsidR="00E3761E" w:rsidRDefault="0030200E" w:rsidP="003C66EB">
      <w:pPr>
        <w:spacing w:after="0" w:line="480" w:lineRule="auto"/>
        <w:ind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Similarly, t</w:t>
      </w:r>
      <w:r w:rsidRPr="00620207">
        <w:rPr>
          <w:rFonts w:ascii="Times New Roman" w:eastAsia="Arial" w:hAnsi="Times New Roman" w:cs="Times New Roman"/>
          <w:color w:val="000000"/>
          <w:sz w:val="24"/>
          <w:szCs w:val="24"/>
        </w:rPr>
        <w:t xml:space="preserve">he </w:t>
      </w:r>
      <w:r w:rsidR="00E3761E" w:rsidRPr="00620207">
        <w:rPr>
          <w:rFonts w:ascii="Times New Roman" w:eastAsia="Arial" w:hAnsi="Times New Roman" w:cs="Times New Roman"/>
          <w:color w:val="000000"/>
          <w:sz w:val="24"/>
          <w:szCs w:val="24"/>
        </w:rPr>
        <w:t xml:space="preserve">oft-repeated attack that the jury needs to award “full justice”, “full measure of justice” or “100% justice” must be precluded as well. </w:t>
      </w:r>
      <w:r w:rsidR="00C919C6">
        <w:rPr>
          <w:rFonts w:ascii="Times New Roman" w:eastAsia="Arial" w:hAnsi="Times New Roman" w:cs="Times New Roman"/>
          <w:color w:val="000000"/>
          <w:sz w:val="24"/>
          <w:szCs w:val="24"/>
        </w:rPr>
        <w:t>As explained by a</w:t>
      </w:r>
      <w:r w:rsidR="002B4DEA">
        <w:rPr>
          <w:rFonts w:ascii="Times New Roman" w:eastAsia="Arial" w:hAnsi="Times New Roman" w:cs="Times New Roman"/>
          <w:color w:val="000000"/>
          <w:sz w:val="24"/>
          <w:szCs w:val="24"/>
        </w:rPr>
        <w:t>n ethically distressing treatise:</w:t>
      </w:r>
      <w:r w:rsidR="00E3761E" w:rsidRPr="00620207">
        <w:rPr>
          <w:rFonts w:ascii="Times New Roman" w:eastAsia="Arial" w:hAnsi="Times New Roman" w:cs="Times New Roman"/>
          <w:color w:val="000000"/>
          <w:sz w:val="24"/>
          <w:szCs w:val="24"/>
        </w:rPr>
        <w:t xml:space="preserve"> “</w:t>
      </w:r>
      <w:r w:rsidR="00E3761E" w:rsidRPr="008E19B4">
        <w:rPr>
          <w:rFonts w:ascii="Times New Roman" w:eastAsia="Arial" w:hAnsi="Times New Roman" w:cs="Times New Roman"/>
          <w:color w:val="000000"/>
          <w:sz w:val="24"/>
          <w:szCs w:val="24"/>
        </w:rPr>
        <w:t>In trial, ‘justice’ helps mainly when you show that justice equates with safety for the juror’s Reptile</w:t>
      </w:r>
      <w:r w:rsidR="002A1AC1">
        <w:rPr>
          <w:rFonts w:ascii="Times New Roman" w:eastAsia="Arial" w:hAnsi="Times New Roman" w:cs="Times New Roman"/>
          <w:color w:val="000000"/>
          <w:sz w:val="24"/>
          <w:szCs w:val="24"/>
        </w:rPr>
        <w:t xml:space="preserve"> [portion of their brain</w:t>
      </w:r>
      <w:r w:rsidR="002108F5">
        <w:rPr>
          <w:rFonts w:ascii="Times New Roman" w:eastAsia="Arial" w:hAnsi="Times New Roman" w:cs="Times New Roman"/>
          <w:color w:val="000000"/>
          <w:sz w:val="24"/>
          <w:szCs w:val="24"/>
        </w:rPr>
        <w:t xml:space="preserve"> responsible for base fight-or-flight instincts</w:t>
      </w:r>
      <w:r w:rsidR="002A1AC1">
        <w:rPr>
          <w:rFonts w:ascii="Times New Roman" w:eastAsia="Arial" w:hAnsi="Times New Roman" w:cs="Times New Roman"/>
          <w:color w:val="000000"/>
          <w:sz w:val="24"/>
          <w:szCs w:val="24"/>
        </w:rPr>
        <w:t>]</w:t>
      </w:r>
      <w:r w:rsidR="00E3761E" w:rsidRPr="008E19B4">
        <w:rPr>
          <w:rFonts w:ascii="Times New Roman" w:eastAsia="Arial" w:hAnsi="Times New Roman" w:cs="Times New Roman"/>
          <w:color w:val="000000"/>
          <w:sz w:val="24"/>
          <w:szCs w:val="24"/>
        </w:rPr>
        <w:t>.  **** You will bring jurors to figure out that community safety is enhanced by means of justice.  You are not asking jurors to sacrifice justice for the sake of safety.  You instead show that justice creates safety</w:t>
      </w:r>
      <w:r w:rsidR="00E3761E" w:rsidRPr="00620207">
        <w:rPr>
          <w:rFonts w:ascii="Times New Roman" w:eastAsia="Arial" w:hAnsi="Times New Roman" w:cs="Times New Roman"/>
          <w:color w:val="000000"/>
          <w:sz w:val="24"/>
          <w:szCs w:val="24"/>
        </w:rPr>
        <w:t>.”  See Ball &amp; Keenan, Reptile: The 2009 Manual Of The Plaintiff’s Revolution (2009), p. 19 (bold added)</w:t>
      </w:r>
      <w:r w:rsidR="00BB647E">
        <w:rPr>
          <w:rFonts w:ascii="Times New Roman" w:eastAsia="Arial" w:hAnsi="Times New Roman" w:cs="Times New Roman"/>
          <w:color w:val="000000"/>
          <w:sz w:val="24"/>
          <w:szCs w:val="24"/>
        </w:rPr>
        <w:t xml:space="preserve">; </w:t>
      </w:r>
      <w:r w:rsidR="00BB647E">
        <w:rPr>
          <w:rFonts w:ascii="Times New Roman" w:eastAsia="Arial" w:hAnsi="Times New Roman" w:cs="Times New Roman"/>
          <w:color w:val="000000"/>
          <w:sz w:val="24"/>
          <w:szCs w:val="24"/>
          <w:u w:val="single"/>
        </w:rPr>
        <w:t>but</w:t>
      </w:r>
      <w:r w:rsidR="00BB647E">
        <w:rPr>
          <w:rFonts w:ascii="Times New Roman" w:eastAsia="Arial" w:hAnsi="Times New Roman" w:cs="Times New Roman"/>
          <w:color w:val="000000"/>
          <w:sz w:val="24"/>
          <w:szCs w:val="24"/>
        </w:rPr>
        <w:t xml:space="preserve"> </w:t>
      </w:r>
      <w:r w:rsidR="00BB647E">
        <w:rPr>
          <w:rFonts w:ascii="Times New Roman" w:eastAsia="Arial" w:hAnsi="Times New Roman" w:cs="Times New Roman"/>
          <w:color w:val="000000"/>
          <w:sz w:val="24"/>
          <w:szCs w:val="24"/>
          <w:u w:val="single"/>
        </w:rPr>
        <w:t>see</w:t>
      </w:r>
      <w:r w:rsidR="00BB647E">
        <w:rPr>
          <w:rFonts w:ascii="Times New Roman" w:eastAsia="Arial" w:hAnsi="Times New Roman" w:cs="Times New Roman"/>
          <w:color w:val="000000"/>
          <w:sz w:val="24"/>
          <w:szCs w:val="24"/>
        </w:rPr>
        <w:t xml:space="preserve"> </w:t>
      </w:r>
      <w:r w:rsidR="00BB647E" w:rsidRPr="00620207">
        <w:rPr>
          <w:rFonts w:ascii="Times New Roman" w:eastAsia="Arial" w:hAnsi="Times New Roman" w:cs="Times New Roman"/>
          <w:color w:val="000000"/>
          <w:sz w:val="24"/>
          <w:szCs w:val="24"/>
          <w:u w:val="single"/>
        </w:rPr>
        <w:t>Norton v. Nguyen</w:t>
      </w:r>
      <w:r w:rsidR="00BB647E" w:rsidRPr="00620207">
        <w:rPr>
          <w:rFonts w:ascii="Times New Roman" w:eastAsia="Arial" w:hAnsi="Times New Roman" w:cs="Times New Roman"/>
          <w:color w:val="000000"/>
          <w:sz w:val="24"/>
          <w:szCs w:val="24"/>
        </w:rPr>
        <w:t xml:space="preserve">, 49 A.D.3d 927, 930 (3d </w:t>
      </w:r>
      <w:proofErr w:type="spellStart"/>
      <w:r w:rsidR="00BB647E" w:rsidRPr="00620207">
        <w:rPr>
          <w:rFonts w:ascii="Times New Roman" w:eastAsia="Arial" w:hAnsi="Times New Roman" w:cs="Times New Roman"/>
          <w:color w:val="000000"/>
          <w:sz w:val="24"/>
          <w:szCs w:val="24"/>
        </w:rPr>
        <w:t>Dep’t</w:t>
      </w:r>
      <w:proofErr w:type="spellEnd"/>
      <w:r w:rsidR="00BB647E" w:rsidRPr="00620207">
        <w:rPr>
          <w:rFonts w:ascii="Times New Roman" w:eastAsia="Arial" w:hAnsi="Times New Roman" w:cs="Times New Roman"/>
          <w:color w:val="000000"/>
          <w:sz w:val="24"/>
          <w:szCs w:val="24"/>
        </w:rPr>
        <w:t xml:space="preserve"> 2008) (“[I]t is inappropriate to refer to the jury as the ‘conscience of the community’”);</w:t>
      </w:r>
      <w:r w:rsidR="00BB647E">
        <w:rPr>
          <w:rFonts w:ascii="Times New Roman" w:eastAsia="Arial" w:hAnsi="Times New Roman" w:cs="Times New Roman"/>
          <w:color w:val="000000"/>
          <w:sz w:val="24"/>
          <w:szCs w:val="24"/>
        </w:rPr>
        <w:t xml:space="preserve"> </w:t>
      </w:r>
      <w:r w:rsidR="00BB647E">
        <w:rPr>
          <w:rFonts w:ascii="Times New Roman" w:eastAsia="Arial" w:hAnsi="Times New Roman" w:cs="Times New Roman"/>
          <w:color w:val="000000"/>
          <w:sz w:val="24"/>
          <w:szCs w:val="24"/>
          <w:u w:val="single"/>
        </w:rPr>
        <w:t>see</w:t>
      </w:r>
      <w:r w:rsidR="00BB647E" w:rsidRPr="00620207">
        <w:rPr>
          <w:rFonts w:ascii="Times New Roman" w:eastAsia="Arial" w:hAnsi="Times New Roman" w:cs="Times New Roman"/>
          <w:color w:val="000000"/>
          <w:sz w:val="24"/>
          <w:szCs w:val="24"/>
        </w:rPr>
        <w:t xml:space="preserve"> </w:t>
      </w:r>
      <w:r w:rsidR="00BB647E" w:rsidRPr="00A0731F">
        <w:rPr>
          <w:rFonts w:ascii="Times New Roman" w:eastAsia="Arial" w:hAnsi="Times New Roman" w:cs="Times New Roman"/>
          <w:color w:val="000000"/>
          <w:sz w:val="24"/>
          <w:szCs w:val="24"/>
          <w:u w:val="single"/>
        </w:rPr>
        <w:t>Halftown v. Triple D Leasing Corp.</w:t>
      </w:r>
      <w:r w:rsidR="00BB647E" w:rsidRPr="00A0731F">
        <w:rPr>
          <w:rFonts w:ascii="Times New Roman" w:eastAsia="Arial" w:hAnsi="Times New Roman" w:cs="Times New Roman"/>
          <w:color w:val="000000"/>
          <w:sz w:val="24"/>
          <w:szCs w:val="24"/>
        </w:rPr>
        <w:t xml:space="preserve">, 89 A.D.2d 794, 794 (4th </w:t>
      </w:r>
      <w:proofErr w:type="spellStart"/>
      <w:r w:rsidR="00BB647E" w:rsidRPr="00A0731F">
        <w:rPr>
          <w:rFonts w:ascii="Times New Roman" w:eastAsia="Arial" w:hAnsi="Times New Roman" w:cs="Times New Roman"/>
          <w:color w:val="000000"/>
          <w:sz w:val="24"/>
          <w:szCs w:val="24"/>
        </w:rPr>
        <w:t>Dep</w:t>
      </w:r>
      <w:r w:rsidR="00616B00">
        <w:rPr>
          <w:rFonts w:ascii="Times New Roman" w:eastAsia="Arial" w:hAnsi="Times New Roman" w:cs="Times New Roman"/>
          <w:color w:val="000000"/>
          <w:sz w:val="24"/>
          <w:szCs w:val="24"/>
        </w:rPr>
        <w:t>’t</w:t>
      </w:r>
      <w:proofErr w:type="spellEnd"/>
      <w:r w:rsidR="00BB647E" w:rsidRPr="00A0731F">
        <w:rPr>
          <w:rFonts w:ascii="Times New Roman" w:eastAsia="Arial" w:hAnsi="Times New Roman" w:cs="Times New Roman"/>
          <w:color w:val="000000"/>
          <w:sz w:val="24"/>
          <w:szCs w:val="24"/>
        </w:rPr>
        <w:t xml:space="preserve"> 1982) </w:t>
      </w:r>
      <w:r w:rsidR="00BB647E" w:rsidRPr="00620207">
        <w:rPr>
          <w:rFonts w:ascii="Times New Roman" w:eastAsia="Arial" w:hAnsi="Times New Roman" w:cs="Times New Roman"/>
          <w:color w:val="000000"/>
          <w:sz w:val="24"/>
          <w:szCs w:val="24"/>
        </w:rPr>
        <w:t xml:space="preserve">(ordering, </w:t>
      </w:r>
      <w:r w:rsidR="00BB647E" w:rsidRPr="00620207">
        <w:rPr>
          <w:rFonts w:ascii="Times New Roman" w:eastAsia="Arial" w:hAnsi="Times New Roman" w:cs="Times New Roman"/>
          <w:i/>
          <w:iCs/>
          <w:color w:val="000000"/>
          <w:sz w:val="24"/>
          <w:szCs w:val="24"/>
        </w:rPr>
        <w:t>inter alia</w:t>
      </w:r>
      <w:r w:rsidR="00BB647E" w:rsidRPr="00620207">
        <w:rPr>
          <w:rFonts w:ascii="Times New Roman" w:eastAsia="Arial" w:hAnsi="Times New Roman" w:cs="Times New Roman"/>
          <w:color w:val="000000"/>
          <w:sz w:val="24"/>
          <w:szCs w:val="24"/>
        </w:rPr>
        <w:t>, a new trial on damages, where “Counsel [] told the jury six times that they were “the conscience of the community” and must send a message to those in the construction field to be more careful so that this does not happen again, thereby inviting the jury to award punitive damages although such were not involved in the pleadings)</w:t>
      </w:r>
      <w:r w:rsidR="00BB647E">
        <w:rPr>
          <w:rFonts w:ascii="Times New Roman" w:eastAsia="Arial" w:hAnsi="Times New Roman" w:cs="Times New Roman"/>
          <w:color w:val="000000"/>
          <w:sz w:val="24"/>
          <w:szCs w:val="24"/>
        </w:rPr>
        <w:t xml:space="preserve">; </w:t>
      </w:r>
      <w:r w:rsidR="00BB647E" w:rsidRPr="003E3CAF">
        <w:rPr>
          <w:rFonts w:ascii="Times New Roman" w:eastAsia="Arial" w:hAnsi="Times New Roman" w:cs="Times New Roman"/>
          <w:color w:val="000000"/>
          <w:sz w:val="24"/>
          <w:szCs w:val="24"/>
          <w:u w:val="single"/>
        </w:rPr>
        <w:t>People v. Bowie</w:t>
      </w:r>
      <w:r w:rsidR="00BB647E" w:rsidRPr="003E3CAF">
        <w:rPr>
          <w:rFonts w:ascii="Times New Roman" w:eastAsia="Arial" w:hAnsi="Times New Roman" w:cs="Times New Roman"/>
          <w:color w:val="000000"/>
          <w:sz w:val="24"/>
          <w:szCs w:val="24"/>
        </w:rPr>
        <w:t xml:space="preserve">, 200 A.D.2d 511, 513 (1st </w:t>
      </w:r>
      <w:proofErr w:type="spellStart"/>
      <w:r w:rsidR="00BB647E" w:rsidRPr="003E3CAF">
        <w:rPr>
          <w:rFonts w:ascii="Times New Roman" w:eastAsia="Arial" w:hAnsi="Times New Roman" w:cs="Times New Roman"/>
          <w:color w:val="000000"/>
          <w:sz w:val="24"/>
          <w:szCs w:val="24"/>
        </w:rPr>
        <w:t>Dep</w:t>
      </w:r>
      <w:r w:rsidR="00194F0B">
        <w:rPr>
          <w:rFonts w:ascii="Times New Roman" w:eastAsia="Arial" w:hAnsi="Times New Roman" w:cs="Times New Roman"/>
          <w:color w:val="000000"/>
          <w:sz w:val="24"/>
          <w:szCs w:val="24"/>
        </w:rPr>
        <w:t>’t</w:t>
      </w:r>
      <w:proofErr w:type="spellEnd"/>
      <w:r w:rsidR="00BB647E" w:rsidRPr="003E3CAF">
        <w:rPr>
          <w:rFonts w:ascii="Times New Roman" w:eastAsia="Arial" w:hAnsi="Times New Roman" w:cs="Times New Roman"/>
          <w:color w:val="000000"/>
          <w:sz w:val="24"/>
          <w:szCs w:val="24"/>
        </w:rPr>
        <w:t xml:space="preserve"> 1994) (same, criminal cases)</w:t>
      </w:r>
      <w:r w:rsidR="00E3761E" w:rsidRPr="00620207">
        <w:rPr>
          <w:rFonts w:ascii="Times New Roman" w:eastAsia="Arial" w:hAnsi="Times New Roman" w:cs="Times New Roman"/>
          <w:color w:val="000000"/>
          <w:sz w:val="24"/>
          <w:szCs w:val="24"/>
        </w:rPr>
        <w:t>.</w:t>
      </w:r>
      <w:r w:rsidR="002A1AC1">
        <w:rPr>
          <w:rFonts w:ascii="Times New Roman" w:eastAsia="Arial" w:hAnsi="Times New Roman" w:cs="Times New Roman"/>
          <w:color w:val="000000"/>
          <w:sz w:val="24"/>
          <w:szCs w:val="24"/>
        </w:rPr>
        <w:t xml:space="preserve"> </w:t>
      </w:r>
      <w:r w:rsidR="00795F6A">
        <w:rPr>
          <w:rFonts w:ascii="Times New Roman" w:eastAsia="Arial" w:hAnsi="Times New Roman" w:cs="Times New Roman"/>
          <w:color w:val="000000"/>
          <w:sz w:val="24"/>
          <w:szCs w:val="24"/>
        </w:rPr>
        <w:t>On the</w:t>
      </w:r>
      <w:r w:rsidR="002A1AC1">
        <w:rPr>
          <w:rFonts w:ascii="Times New Roman" w:eastAsia="Arial" w:hAnsi="Times New Roman" w:cs="Times New Roman"/>
          <w:color w:val="000000"/>
          <w:sz w:val="24"/>
          <w:szCs w:val="24"/>
        </w:rPr>
        <w:t xml:space="preserve"> contrary: “</w:t>
      </w:r>
      <w:r w:rsidR="002A1AC1" w:rsidRPr="002A1AC1">
        <w:rPr>
          <w:rFonts w:ascii="Times New Roman" w:eastAsia="Arial" w:hAnsi="Times New Roman" w:cs="Times New Roman"/>
          <w:color w:val="000000"/>
          <w:sz w:val="24"/>
          <w:szCs w:val="24"/>
        </w:rPr>
        <w:t>counsel’s expression of indignation and outrage could only serve to lead the jury away from a decision based upon a fair and impartial review of the evidence</w:t>
      </w:r>
      <w:r w:rsidR="002A1AC1">
        <w:rPr>
          <w:rFonts w:ascii="Times New Roman" w:eastAsia="Arial" w:hAnsi="Times New Roman" w:cs="Times New Roman"/>
          <w:color w:val="000000"/>
          <w:sz w:val="24"/>
          <w:szCs w:val="24"/>
        </w:rPr>
        <w:t xml:space="preserve">.” </w:t>
      </w:r>
      <w:r w:rsidR="002A1AC1" w:rsidRPr="002A1AC1">
        <w:rPr>
          <w:rFonts w:ascii="Times New Roman" w:eastAsia="Arial" w:hAnsi="Times New Roman" w:cs="Times New Roman"/>
          <w:color w:val="000000"/>
          <w:sz w:val="24"/>
          <w:szCs w:val="24"/>
          <w:u w:val="single"/>
        </w:rPr>
        <w:t>Smith</w:t>
      </w:r>
      <w:r w:rsidR="002A1AC1" w:rsidRPr="002A1AC1">
        <w:rPr>
          <w:rFonts w:ascii="Times New Roman" w:eastAsia="Arial" w:hAnsi="Times New Roman" w:cs="Times New Roman"/>
          <w:color w:val="000000"/>
          <w:sz w:val="24"/>
          <w:szCs w:val="24"/>
        </w:rPr>
        <w:t xml:space="preserve">, 151 A.D.3d </w:t>
      </w:r>
      <w:r w:rsidR="002A1AC1">
        <w:rPr>
          <w:rFonts w:ascii="Times New Roman" w:eastAsia="Arial" w:hAnsi="Times New Roman" w:cs="Times New Roman"/>
          <w:color w:val="000000"/>
          <w:sz w:val="24"/>
          <w:szCs w:val="24"/>
        </w:rPr>
        <w:t>at</w:t>
      </w:r>
      <w:r w:rsidR="002A1AC1" w:rsidRPr="002A1AC1">
        <w:rPr>
          <w:rFonts w:ascii="Times New Roman" w:eastAsia="Arial" w:hAnsi="Times New Roman" w:cs="Times New Roman"/>
          <w:color w:val="000000"/>
          <w:sz w:val="24"/>
          <w:szCs w:val="24"/>
        </w:rPr>
        <w:t xml:space="preserve"> 66</w:t>
      </w:r>
      <w:r w:rsidR="002B1FB5">
        <w:rPr>
          <w:rFonts w:ascii="Times New Roman" w:eastAsia="Arial" w:hAnsi="Times New Roman" w:cs="Times New Roman"/>
          <w:color w:val="000000"/>
          <w:sz w:val="24"/>
          <w:szCs w:val="24"/>
        </w:rPr>
        <w:t>.</w:t>
      </w:r>
    </w:p>
    <w:p w14:paraId="0B950642" w14:textId="0F2EE5A1" w:rsidR="00E246EC" w:rsidRDefault="00E246EC" w:rsidP="00276FD0">
      <w:pPr>
        <w:spacing w:line="480" w:lineRule="auto"/>
        <w:ind w:firstLine="720"/>
        <w:contextualSpacing/>
        <w:jc w:val="both"/>
        <w:rPr>
          <w:rFonts w:ascii="Times New Roman" w:eastAsia="Arial" w:hAnsi="Times New Roman" w:cs="Times New Roman"/>
          <w:color w:val="000000"/>
          <w:sz w:val="24"/>
          <w:szCs w:val="24"/>
        </w:rPr>
      </w:pPr>
      <w:r>
        <w:rPr>
          <w:rFonts w:ascii="Times New Roman" w:hAnsi="Times New Roman"/>
          <w:kern w:val="0"/>
          <w:sz w:val="24"/>
          <w14:ligatures w14:val="none"/>
        </w:rPr>
        <w:t xml:space="preserve">An order barring </w:t>
      </w:r>
      <w:r w:rsidR="00881FE3">
        <w:rPr>
          <w:rFonts w:ascii="Times New Roman" w:hAnsi="Times New Roman"/>
          <w:kern w:val="0"/>
          <w:sz w:val="24"/>
          <w14:ligatures w14:val="none"/>
        </w:rPr>
        <w:t>“take responsibility” arguments</w:t>
      </w:r>
      <w:r>
        <w:rPr>
          <w:rFonts w:ascii="Times New Roman" w:hAnsi="Times New Roman"/>
          <w:kern w:val="0"/>
          <w:sz w:val="24"/>
          <w14:ligatures w14:val="none"/>
        </w:rPr>
        <w:t xml:space="preserve"> should be issued now, prior to trial, because it is impossible to adequately cure after-the-fact. A curative instruction is categorically insufficient when the impropriety is “</w:t>
      </w:r>
      <w:r w:rsidRPr="00FC1984">
        <w:rPr>
          <w:rFonts w:ascii="Times New Roman" w:hAnsi="Times New Roman"/>
          <w:kern w:val="0"/>
          <w:sz w:val="24"/>
          <w14:ligatures w14:val="none"/>
        </w:rPr>
        <w:t>so dangerous as to require a reversal even when the court strikes it from the record and directs the jury to disregard it, unless it clearly appears that it could not have influenced the verdict.</w:t>
      </w:r>
      <w:r>
        <w:rPr>
          <w:rFonts w:ascii="Times New Roman" w:hAnsi="Times New Roman"/>
          <w:kern w:val="0"/>
          <w:sz w:val="24"/>
          <w14:ligatures w14:val="none"/>
        </w:rPr>
        <w:t xml:space="preserve">” </w:t>
      </w:r>
      <w:r w:rsidRPr="00FC1984">
        <w:rPr>
          <w:rFonts w:ascii="Times New Roman" w:hAnsi="Times New Roman"/>
          <w:kern w:val="0"/>
          <w:sz w:val="24"/>
          <w:u w:val="single"/>
          <w14:ligatures w14:val="none"/>
        </w:rPr>
        <w:t>Simpson v. Foundation Co.</w:t>
      </w:r>
      <w:r w:rsidRPr="00FC1984">
        <w:rPr>
          <w:rFonts w:ascii="Times New Roman" w:hAnsi="Times New Roman"/>
          <w:kern w:val="0"/>
          <w:sz w:val="24"/>
          <w14:ligatures w14:val="none"/>
        </w:rPr>
        <w:t>, 201 N.Y. 479, 490</w:t>
      </w:r>
      <w:r>
        <w:rPr>
          <w:rFonts w:ascii="Times New Roman" w:hAnsi="Times New Roman"/>
          <w:kern w:val="0"/>
          <w:sz w:val="24"/>
          <w14:ligatures w14:val="none"/>
        </w:rPr>
        <w:t xml:space="preserve"> (1911)</w:t>
      </w:r>
      <w:r w:rsidR="00464210">
        <w:rPr>
          <w:rFonts w:ascii="Times New Roman" w:hAnsi="Times New Roman"/>
          <w:kern w:val="0"/>
          <w:sz w:val="24"/>
          <w14:ligatures w14:val="none"/>
        </w:rPr>
        <w:t xml:space="preserve"> (mentioning insurance); </w:t>
      </w:r>
      <w:r w:rsidR="00464210">
        <w:rPr>
          <w:rFonts w:ascii="Times New Roman" w:hAnsi="Times New Roman"/>
          <w:kern w:val="0"/>
          <w:sz w:val="24"/>
          <w:u w:val="single"/>
          <w14:ligatures w14:val="none"/>
        </w:rPr>
        <w:t>s</w:t>
      </w:r>
      <w:r>
        <w:rPr>
          <w:rFonts w:ascii="Times New Roman" w:hAnsi="Times New Roman"/>
          <w:kern w:val="0"/>
          <w:sz w:val="24"/>
          <w:u w:val="single"/>
          <w14:ligatures w14:val="none"/>
        </w:rPr>
        <w:t>e</w:t>
      </w:r>
      <w:r w:rsidRPr="00A70685">
        <w:rPr>
          <w:rFonts w:ascii="Times New Roman" w:hAnsi="Times New Roman"/>
          <w:kern w:val="0"/>
          <w:sz w:val="24"/>
          <w:u w:val="single"/>
          <w14:ligatures w14:val="none"/>
        </w:rPr>
        <w:t>e, e</w:t>
      </w:r>
      <w:r>
        <w:rPr>
          <w:rFonts w:ascii="Times New Roman" w:hAnsi="Times New Roman"/>
          <w:kern w:val="0"/>
          <w:sz w:val="24"/>
          <w:u w:val="single"/>
          <w14:ligatures w14:val="none"/>
        </w:rPr>
        <w:t>.g.</w:t>
      </w:r>
      <w:r>
        <w:rPr>
          <w:rFonts w:ascii="Times New Roman" w:hAnsi="Times New Roman"/>
          <w:kern w:val="0"/>
          <w:sz w:val="24"/>
          <w14:ligatures w14:val="none"/>
        </w:rPr>
        <w:t xml:space="preserve">, </w:t>
      </w:r>
      <w:r w:rsidRPr="00D66F1C">
        <w:rPr>
          <w:rFonts w:ascii="Times New Roman" w:hAnsi="Times New Roman"/>
          <w:kern w:val="0"/>
          <w:sz w:val="24"/>
          <w:u w:val="single"/>
          <w14:ligatures w14:val="none"/>
        </w:rPr>
        <w:t>Grogan v. Nizam</w:t>
      </w:r>
      <w:r w:rsidRPr="00D66F1C">
        <w:rPr>
          <w:rFonts w:ascii="Times New Roman" w:hAnsi="Times New Roman"/>
          <w:kern w:val="0"/>
          <w:sz w:val="24"/>
          <w14:ligatures w14:val="none"/>
        </w:rPr>
        <w:t>, 66 A.D.3d 734, 736</w:t>
      </w:r>
      <w:r>
        <w:rPr>
          <w:rFonts w:ascii="Times New Roman" w:hAnsi="Times New Roman"/>
          <w:kern w:val="0"/>
          <w:sz w:val="24"/>
          <w14:ligatures w14:val="none"/>
        </w:rPr>
        <w:t xml:space="preserve"> (2d Dept. 2009)</w:t>
      </w:r>
      <w:r w:rsidR="00464210">
        <w:rPr>
          <w:rFonts w:ascii="Times New Roman" w:hAnsi="Times New Roman"/>
          <w:kern w:val="0"/>
          <w:sz w:val="24"/>
          <w14:ligatures w14:val="none"/>
        </w:rPr>
        <w:t xml:space="preserve"> (same)</w:t>
      </w:r>
      <w:r>
        <w:rPr>
          <w:rFonts w:ascii="Times New Roman" w:hAnsi="Times New Roman"/>
          <w:kern w:val="0"/>
          <w:sz w:val="24"/>
          <w14:ligatures w14:val="none"/>
        </w:rPr>
        <w:t>.</w:t>
      </w:r>
      <w:r w:rsidR="00156C88">
        <w:rPr>
          <w:rFonts w:ascii="Times New Roman" w:hAnsi="Times New Roman"/>
          <w:kern w:val="0"/>
          <w:sz w:val="24"/>
          <w14:ligatures w14:val="none"/>
        </w:rPr>
        <w:t xml:space="preserve"> </w:t>
      </w:r>
      <w:r w:rsidR="00FA7BE7">
        <w:rPr>
          <w:rFonts w:ascii="Times New Roman" w:hAnsi="Times New Roman"/>
          <w:kern w:val="0"/>
          <w:sz w:val="24"/>
          <w14:ligatures w14:val="none"/>
        </w:rPr>
        <w:t>As demonstrated by the above quote from that overtly results-oriented treatise, such “take responsibility” and “justice” arguments cannot help but press jurors’ emotions and instincts to override their reasoning. Whether a plaintiff intends to manipulate the jury’s emotions or merely stumbles into it,</w:t>
      </w:r>
      <w:r w:rsidR="00AC6565">
        <w:rPr>
          <w:rFonts w:ascii="Times New Roman" w:hAnsi="Times New Roman"/>
          <w:kern w:val="0"/>
          <w:sz w:val="24"/>
          <w14:ligatures w14:val="none"/>
        </w:rPr>
        <w:t xml:space="preserve"> these arguments boil down to</w:t>
      </w:r>
      <w:r w:rsidR="00FA7BE7">
        <w:rPr>
          <w:rFonts w:ascii="Times New Roman" w:hAnsi="Times New Roman"/>
          <w:kern w:val="0"/>
          <w:sz w:val="24"/>
          <w14:ligatures w14:val="none"/>
        </w:rPr>
        <w:t xml:space="preserve"> </w:t>
      </w:r>
      <w:r w:rsidR="00FA7BE7">
        <w:rPr>
          <w:rFonts w:ascii="Times New Roman" w:eastAsia="Arial" w:hAnsi="Times New Roman" w:cs="Times New Roman"/>
          <w:color w:val="000000"/>
          <w:sz w:val="24"/>
          <w:szCs w:val="24"/>
        </w:rPr>
        <w:t>“</w:t>
      </w:r>
      <w:r w:rsidR="00FA7BE7" w:rsidRPr="002A1AC1">
        <w:rPr>
          <w:rFonts w:ascii="Times New Roman" w:eastAsia="Arial" w:hAnsi="Times New Roman" w:cs="Times New Roman"/>
          <w:color w:val="000000"/>
          <w:sz w:val="24"/>
          <w:szCs w:val="24"/>
        </w:rPr>
        <w:t>expression of indignation and outrage</w:t>
      </w:r>
      <w:r w:rsidR="00AC6565">
        <w:rPr>
          <w:rFonts w:ascii="Times New Roman" w:eastAsia="Arial" w:hAnsi="Times New Roman" w:cs="Times New Roman"/>
          <w:color w:val="000000"/>
          <w:sz w:val="24"/>
          <w:szCs w:val="24"/>
        </w:rPr>
        <w:t xml:space="preserve"> [that]</w:t>
      </w:r>
      <w:r w:rsidR="00FA7BE7" w:rsidRPr="002A1AC1">
        <w:rPr>
          <w:rFonts w:ascii="Times New Roman" w:eastAsia="Arial" w:hAnsi="Times New Roman" w:cs="Times New Roman"/>
          <w:color w:val="000000"/>
          <w:sz w:val="24"/>
          <w:szCs w:val="24"/>
        </w:rPr>
        <w:t xml:space="preserve"> could only serve to lead the jury away from a decision based upon a fair and impartial review of the evidence</w:t>
      </w:r>
      <w:r w:rsidR="00FA7BE7">
        <w:rPr>
          <w:rFonts w:ascii="Times New Roman" w:eastAsia="Arial" w:hAnsi="Times New Roman" w:cs="Times New Roman"/>
          <w:color w:val="000000"/>
          <w:sz w:val="24"/>
          <w:szCs w:val="24"/>
        </w:rPr>
        <w:t xml:space="preserve">.” </w:t>
      </w:r>
      <w:r w:rsidR="00FA7BE7" w:rsidRPr="002A1AC1">
        <w:rPr>
          <w:rFonts w:ascii="Times New Roman" w:eastAsia="Arial" w:hAnsi="Times New Roman" w:cs="Times New Roman"/>
          <w:color w:val="000000"/>
          <w:sz w:val="24"/>
          <w:szCs w:val="24"/>
          <w:u w:val="single"/>
        </w:rPr>
        <w:t>Smith</w:t>
      </w:r>
      <w:r w:rsidR="00FA7BE7" w:rsidRPr="002A1AC1">
        <w:rPr>
          <w:rFonts w:ascii="Times New Roman" w:eastAsia="Arial" w:hAnsi="Times New Roman" w:cs="Times New Roman"/>
          <w:color w:val="000000"/>
          <w:sz w:val="24"/>
          <w:szCs w:val="24"/>
        </w:rPr>
        <w:t xml:space="preserve">, 151 A.D.3d </w:t>
      </w:r>
      <w:r w:rsidR="00FA7BE7">
        <w:rPr>
          <w:rFonts w:ascii="Times New Roman" w:eastAsia="Arial" w:hAnsi="Times New Roman" w:cs="Times New Roman"/>
          <w:color w:val="000000"/>
          <w:sz w:val="24"/>
          <w:szCs w:val="24"/>
        </w:rPr>
        <w:t>at</w:t>
      </w:r>
      <w:r w:rsidR="00FA7BE7" w:rsidRPr="002A1AC1">
        <w:rPr>
          <w:rFonts w:ascii="Times New Roman" w:eastAsia="Arial" w:hAnsi="Times New Roman" w:cs="Times New Roman"/>
          <w:color w:val="000000"/>
          <w:sz w:val="24"/>
          <w:szCs w:val="24"/>
        </w:rPr>
        <w:t xml:space="preserve"> 66</w:t>
      </w:r>
      <w:r w:rsidR="00FA7BE7">
        <w:rPr>
          <w:rFonts w:ascii="Times New Roman" w:eastAsia="Arial" w:hAnsi="Times New Roman" w:cs="Times New Roman"/>
          <w:color w:val="000000"/>
          <w:sz w:val="24"/>
          <w:szCs w:val="24"/>
        </w:rPr>
        <w:t>.</w:t>
      </w:r>
    </w:p>
    <w:p w14:paraId="2727962F" w14:textId="3DC0C238" w:rsidR="003C1AC9" w:rsidRDefault="003C1AC9" w:rsidP="00276FD0">
      <w:pPr>
        <w:spacing w:line="480" w:lineRule="auto"/>
        <w:ind w:firstLine="720"/>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In the alternative, the only even potentially sufficient curative instruction if “take responsibility” or “total justice” issues nonetheless are heard by the jury is an immediate and emphatic admonition by the Court that the defendants have the constitutional right to appear and defend their case, a right that cannot be denied, have done nothing unlawful</w:t>
      </w:r>
      <w:r w:rsidR="005F4091">
        <w:rPr>
          <w:rFonts w:ascii="Times New Roman" w:eastAsia="Arial" w:hAnsi="Times New Roman" w:cs="Times New Roman"/>
          <w:color w:val="000000"/>
          <w:sz w:val="24"/>
          <w:szCs w:val="24"/>
        </w:rPr>
        <w:t xml:space="preserve"> or unethical</w:t>
      </w:r>
      <w:r>
        <w:rPr>
          <w:rFonts w:ascii="Times New Roman" w:eastAsia="Arial" w:hAnsi="Times New Roman" w:cs="Times New Roman"/>
          <w:color w:val="000000"/>
          <w:sz w:val="24"/>
          <w:szCs w:val="24"/>
        </w:rPr>
        <w:t xml:space="preserve"> in doing so, and </w:t>
      </w:r>
      <w:r w:rsidR="00A55B77">
        <w:rPr>
          <w:rFonts w:ascii="Times New Roman" w:eastAsia="Arial" w:hAnsi="Times New Roman" w:cs="Times New Roman"/>
          <w:color w:val="000000"/>
          <w:sz w:val="24"/>
          <w:szCs w:val="24"/>
        </w:rPr>
        <w:t>that by insinuating defendants were supposed to concede instead it is plaintiffs who</w:t>
      </w:r>
      <w:r w:rsidR="00011BDE">
        <w:rPr>
          <w:rFonts w:ascii="Times New Roman" w:eastAsia="Arial" w:hAnsi="Times New Roman" w:cs="Times New Roman"/>
          <w:color w:val="000000"/>
          <w:sz w:val="24"/>
          <w:szCs w:val="24"/>
        </w:rPr>
        <w:t xml:space="preserve"> </w:t>
      </w:r>
      <w:r w:rsidR="00B97FA5">
        <w:rPr>
          <w:rFonts w:ascii="Times New Roman" w:eastAsia="Arial" w:hAnsi="Times New Roman" w:cs="Times New Roman"/>
          <w:color w:val="000000"/>
          <w:sz w:val="24"/>
          <w:szCs w:val="24"/>
        </w:rPr>
        <w:t xml:space="preserve">have </w:t>
      </w:r>
      <w:r w:rsidR="00A55B77">
        <w:rPr>
          <w:rFonts w:ascii="Times New Roman" w:eastAsia="Arial" w:hAnsi="Times New Roman" w:cs="Times New Roman"/>
          <w:color w:val="000000"/>
          <w:sz w:val="24"/>
          <w:szCs w:val="24"/>
        </w:rPr>
        <w:t xml:space="preserve">violated the defendants’ rights. </w:t>
      </w:r>
    </w:p>
    <w:p w14:paraId="11281623" w14:textId="77777777" w:rsidR="003C66EB" w:rsidRPr="003C66EB" w:rsidRDefault="003C66EB" w:rsidP="003C66EB">
      <w:pPr>
        <w:spacing w:after="0" w:line="480" w:lineRule="auto"/>
        <w:jc w:val="center"/>
        <w:rPr>
          <w:rFonts w:ascii="Times New Roman" w:eastAsia="Calibri" w:hAnsi="Times New Roman"/>
          <w:sz w:val="24"/>
          <w:szCs w:val="24"/>
          <w:u w:val="single"/>
        </w:rPr>
      </w:pPr>
      <w:r w:rsidRPr="003C66EB">
        <w:rPr>
          <w:rFonts w:ascii="Times New Roman" w:eastAsia="Calibri" w:hAnsi="Times New Roman"/>
          <w:sz w:val="24"/>
          <w:szCs w:val="24"/>
          <w:u w:val="single"/>
        </w:rPr>
        <w:t>CONCLUSION</w:t>
      </w:r>
    </w:p>
    <w:p w14:paraId="470AAB8A" w14:textId="3868208F" w:rsidR="00AA567F" w:rsidRPr="003C66EB" w:rsidRDefault="003C66EB" w:rsidP="003C66EB">
      <w:pPr>
        <w:spacing w:after="0" w:line="480" w:lineRule="auto"/>
        <w:ind w:firstLine="720"/>
        <w:contextualSpacing/>
        <w:jc w:val="both"/>
        <w:rPr>
          <w:rFonts w:ascii="Times New Roman" w:eastAsia="Calibri" w:hAnsi="Times New Roman" w:cs="Times New Roman"/>
          <w:sz w:val="24"/>
          <w:szCs w:val="24"/>
        </w:rPr>
      </w:pPr>
      <w:r w:rsidRPr="003C66EB">
        <w:rPr>
          <w:rFonts w:ascii="Times New Roman" w:eastAsia="Calibri" w:hAnsi="Times New Roman"/>
          <w:sz w:val="24"/>
          <w:szCs w:val="24"/>
        </w:rPr>
        <w:t>Accordingly, defendants are entitled to an Order precluding improper and irrelevant but highly unfairly prejudicial “failure to accept responsibility” commentary or questions.</w:t>
      </w:r>
    </w:p>
    <w:p w14:paraId="736A6018" w14:textId="53DFAD5D" w:rsidR="009A1E0A" w:rsidRPr="00FA3CAC" w:rsidRDefault="009A1E0A" w:rsidP="00AA567F">
      <w:pPr>
        <w:spacing w:after="0" w:line="480" w:lineRule="auto"/>
        <w:contextualSpacing/>
        <w:rPr>
          <w:rFonts w:ascii="Times New Roman" w:eastAsia="Calibri" w:hAnsi="Times New Roman" w:cs="Times New Roman"/>
          <w:kern w:val="0"/>
          <w:sz w:val="24"/>
          <w:szCs w:val="24"/>
          <w:highlight w:val="yellow"/>
          <w14:ligatures w14:val="none"/>
        </w:rPr>
      </w:pPr>
      <w:r w:rsidRPr="00620207">
        <w:rPr>
          <w:rFonts w:ascii="Times New Roman" w:eastAsia="Calibri" w:hAnsi="Times New Roman" w:cs="Times New Roman"/>
          <w:kern w:val="0"/>
          <w:sz w:val="24"/>
          <w:szCs w:val="24"/>
          <w14:ligatures w14:val="none"/>
        </w:rPr>
        <w:t>Date</w:t>
      </w:r>
      <w:r w:rsidRPr="00FA3CAC">
        <w:rPr>
          <w:rFonts w:ascii="Times New Roman" w:eastAsia="Calibri" w:hAnsi="Times New Roman" w:cs="Times New Roman"/>
          <w:kern w:val="0"/>
          <w:sz w:val="24"/>
          <w:szCs w:val="24"/>
          <w:highlight w:val="yellow"/>
          <w14:ligatures w14:val="none"/>
        </w:rPr>
        <w:t>d: New York, New York</w:t>
      </w:r>
      <w:r w:rsidRPr="00FA3CAC">
        <w:rPr>
          <w:rFonts w:ascii="Times New Roman" w:eastAsia="Calibri" w:hAnsi="Times New Roman" w:cs="Times New Roman"/>
          <w:kern w:val="0"/>
          <w:sz w:val="24"/>
          <w:szCs w:val="24"/>
          <w:highlight w:val="yellow"/>
          <w14:ligatures w14:val="none"/>
        </w:rPr>
        <w:tab/>
      </w:r>
      <w:r w:rsidRPr="00FA3CAC">
        <w:rPr>
          <w:rFonts w:ascii="Times New Roman" w:eastAsia="Calibri" w:hAnsi="Times New Roman" w:cs="Times New Roman"/>
          <w:kern w:val="0"/>
          <w:sz w:val="24"/>
          <w:szCs w:val="24"/>
          <w:highlight w:val="yellow"/>
          <w14:ligatures w14:val="none"/>
        </w:rPr>
        <w:tab/>
      </w:r>
      <w:r w:rsidRPr="00FA3CAC">
        <w:rPr>
          <w:rFonts w:ascii="Times New Roman" w:eastAsia="Calibri" w:hAnsi="Times New Roman" w:cs="Times New Roman"/>
          <w:kern w:val="0"/>
          <w:sz w:val="24"/>
          <w:szCs w:val="24"/>
          <w:highlight w:val="yellow"/>
          <w14:ligatures w14:val="none"/>
        </w:rPr>
        <w:tab/>
        <w:t>Respectfully submitted,</w:t>
      </w:r>
    </w:p>
    <w:p w14:paraId="30D02118" w14:textId="2119BBC5" w:rsidR="009A1E0A" w:rsidRPr="00620207" w:rsidRDefault="009A1E0A" w:rsidP="00FA3CAC">
      <w:pPr>
        <w:spacing w:after="0" w:line="480" w:lineRule="auto"/>
        <w:contextualSpacing/>
        <w:rPr>
          <w:rFonts w:ascii="Times New Roman" w:eastAsia="Calibri" w:hAnsi="Times New Roman" w:cs="Times New Roman"/>
          <w:kern w:val="0"/>
          <w:sz w:val="24"/>
          <w:szCs w:val="24"/>
          <w14:ligatures w14:val="none"/>
        </w:rPr>
      </w:pPr>
      <w:r w:rsidRPr="00FA3CAC">
        <w:rPr>
          <w:rFonts w:ascii="Times New Roman" w:eastAsia="Calibri" w:hAnsi="Times New Roman" w:cs="Times New Roman"/>
          <w:kern w:val="0"/>
          <w:sz w:val="24"/>
          <w:szCs w:val="24"/>
          <w:highlight w:val="yellow"/>
          <w14:ligatures w14:val="none"/>
        </w:rPr>
        <w:tab/>
      </w:r>
      <w:r w:rsidR="00FA3CAC" w:rsidRPr="00FA3CAC">
        <w:rPr>
          <w:rFonts w:ascii="Times New Roman" w:eastAsia="Calibri" w:hAnsi="Times New Roman" w:cs="Times New Roman"/>
          <w:kern w:val="0"/>
          <w:sz w:val="24"/>
          <w:szCs w:val="24"/>
          <w:highlight w:val="yellow"/>
          <w14:ligatures w14:val="none"/>
        </w:rPr>
        <w:t>DATE</w:t>
      </w:r>
    </w:p>
    <w:p w14:paraId="3B926884" w14:textId="77777777" w:rsidR="009A1E0A" w:rsidRPr="00620207" w:rsidRDefault="009A1E0A" w:rsidP="00B74A9A">
      <w:pPr>
        <w:spacing w:after="0" w:line="24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ab/>
      </w:r>
    </w:p>
    <w:p w14:paraId="7AC05EC6" w14:textId="77777777" w:rsidR="009A1E0A" w:rsidRPr="00620207" w:rsidRDefault="009A1E0A" w:rsidP="00B74A9A">
      <w:pPr>
        <w:spacing w:after="0" w:line="240" w:lineRule="auto"/>
        <w:ind w:left="4320"/>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BY:______________________________</w:t>
      </w:r>
    </w:p>
    <w:p w14:paraId="276E9C11" w14:textId="691BECC3" w:rsidR="00C82697" w:rsidRPr="00620207" w:rsidRDefault="00C82697" w:rsidP="00B74A9A">
      <w:pPr>
        <w:spacing w:after="0" w:line="240" w:lineRule="auto"/>
        <w:ind w:left="4320"/>
        <w:contextualSpacing/>
        <w:rPr>
          <w:rFonts w:ascii="Times New Roman" w:eastAsia="Calibri" w:hAnsi="Times New Roman" w:cs="Times New Roman"/>
          <w:sz w:val="24"/>
          <w:szCs w:val="24"/>
        </w:rPr>
      </w:pPr>
      <w:r w:rsidRPr="00620207">
        <w:rPr>
          <w:rFonts w:ascii="Times New Roman" w:eastAsia="Calibri" w:hAnsi="Times New Roman" w:cs="Times New Roman"/>
          <w:sz w:val="24"/>
          <w:szCs w:val="24"/>
        </w:rPr>
        <w:tab/>
      </w:r>
      <w:r w:rsidRPr="00620207">
        <w:rPr>
          <w:rFonts w:ascii="Times New Roman" w:eastAsia="Calibri" w:hAnsi="Times New Roman" w:cs="Times New Roman"/>
          <w:sz w:val="24"/>
          <w:szCs w:val="24"/>
        </w:rPr>
        <w:tab/>
      </w:r>
      <w:r w:rsidRPr="00620207">
        <w:rPr>
          <w:rFonts w:ascii="Times New Roman" w:eastAsia="Calibri" w:hAnsi="Times New Roman" w:cs="Times New Roman"/>
          <w:sz w:val="24"/>
          <w:szCs w:val="24"/>
        </w:rPr>
        <w:tab/>
      </w:r>
      <w:r w:rsidRPr="00620207">
        <w:rPr>
          <w:rFonts w:ascii="Times New Roman" w:eastAsia="Calibri" w:hAnsi="Times New Roman" w:cs="Times New Roman"/>
          <w:sz w:val="24"/>
          <w:szCs w:val="24"/>
        </w:rPr>
        <w:tab/>
      </w:r>
      <w:r w:rsidRPr="00620207">
        <w:rPr>
          <w:rFonts w:ascii="Times New Roman" w:eastAsia="Calibri" w:hAnsi="Times New Roman" w:cs="Times New Roman"/>
          <w:sz w:val="24"/>
          <w:szCs w:val="24"/>
        </w:rPr>
        <w:tab/>
      </w:r>
      <w:r w:rsidRPr="00620207">
        <w:rPr>
          <w:rFonts w:ascii="Times New Roman" w:eastAsia="Calibri" w:hAnsi="Times New Roman" w:cs="Times New Roman"/>
          <w:sz w:val="24"/>
          <w:szCs w:val="24"/>
        </w:rPr>
        <w:tab/>
      </w:r>
    </w:p>
    <w:p w14:paraId="0B3146AA" w14:textId="55A14475" w:rsidR="00C82697" w:rsidRPr="00620207" w:rsidRDefault="00C82697" w:rsidP="00B74A9A">
      <w:pPr>
        <w:spacing w:after="0" w:line="24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TO:</w:t>
      </w:r>
    </w:p>
    <w:p w14:paraId="4E2B41F7" w14:textId="7F63B667" w:rsidR="00620207" w:rsidRPr="00620207" w:rsidRDefault="00620207" w:rsidP="00B74A9A">
      <w:pPr>
        <w:spacing w:after="0" w:line="480" w:lineRule="auto"/>
        <w:rPr>
          <w:rFonts w:ascii="Times New Roman" w:eastAsia="Calibri" w:hAnsi="Times New Roman" w:cs="Times New Roman"/>
          <w:kern w:val="0"/>
          <w:sz w:val="24"/>
          <w:szCs w:val="24"/>
          <w14:ligatures w14:val="none"/>
        </w:rPr>
      </w:pPr>
    </w:p>
    <w:sectPr w:rsidR="00620207" w:rsidRPr="00620207" w:rsidSect="00A131F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859B" w14:textId="77777777" w:rsidR="00F4182F" w:rsidRDefault="00F4182F" w:rsidP="00F04DC1">
      <w:pPr>
        <w:spacing w:after="0" w:line="240" w:lineRule="auto"/>
      </w:pPr>
      <w:r>
        <w:separator/>
      </w:r>
    </w:p>
  </w:endnote>
  <w:endnote w:type="continuationSeparator" w:id="0">
    <w:p w14:paraId="01150095" w14:textId="77777777" w:rsidR="00F4182F" w:rsidRDefault="00F4182F" w:rsidP="00F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7647998"/>
      <w:docPartObj>
        <w:docPartGallery w:val="Page Numbers (Bottom of Page)"/>
        <w:docPartUnique/>
      </w:docPartObj>
    </w:sdtPr>
    <w:sdtEndPr>
      <w:rPr>
        <w:noProof/>
      </w:rPr>
    </w:sdtEndPr>
    <w:sdtContent>
      <w:p w14:paraId="0388AD4D" w14:textId="129CBA96" w:rsidR="00BE739E" w:rsidRPr="00BE739E" w:rsidRDefault="00BE739E">
        <w:pPr>
          <w:pStyle w:val="Footer"/>
          <w:jc w:val="center"/>
          <w:rPr>
            <w:rFonts w:ascii="Times New Roman" w:hAnsi="Times New Roman" w:cs="Times New Roman"/>
            <w:sz w:val="24"/>
            <w:szCs w:val="24"/>
          </w:rPr>
        </w:pPr>
        <w:r w:rsidRPr="00BE739E">
          <w:rPr>
            <w:rFonts w:ascii="Times New Roman" w:hAnsi="Times New Roman" w:cs="Times New Roman"/>
            <w:sz w:val="24"/>
            <w:szCs w:val="24"/>
          </w:rPr>
          <w:fldChar w:fldCharType="begin"/>
        </w:r>
        <w:r w:rsidRPr="00BE739E">
          <w:rPr>
            <w:rFonts w:ascii="Times New Roman" w:hAnsi="Times New Roman" w:cs="Times New Roman"/>
            <w:sz w:val="24"/>
            <w:szCs w:val="24"/>
          </w:rPr>
          <w:instrText xml:space="preserve"> PAGE   \* MERGEFORMAT </w:instrText>
        </w:r>
        <w:r w:rsidRPr="00BE739E">
          <w:rPr>
            <w:rFonts w:ascii="Times New Roman" w:hAnsi="Times New Roman" w:cs="Times New Roman"/>
            <w:sz w:val="24"/>
            <w:szCs w:val="24"/>
          </w:rPr>
          <w:fldChar w:fldCharType="separate"/>
        </w:r>
        <w:r w:rsidRPr="00BE739E">
          <w:rPr>
            <w:rFonts w:ascii="Times New Roman" w:hAnsi="Times New Roman" w:cs="Times New Roman"/>
            <w:noProof/>
            <w:sz w:val="24"/>
            <w:szCs w:val="24"/>
          </w:rPr>
          <w:t>2</w:t>
        </w:r>
        <w:r w:rsidRPr="00BE739E">
          <w:rPr>
            <w:rFonts w:ascii="Times New Roman" w:hAnsi="Times New Roman" w:cs="Times New Roman"/>
            <w:noProof/>
            <w:sz w:val="24"/>
            <w:szCs w:val="24"/>
          </w:rPr>
          <w:fldChar w:fldCharType="end"/>
        </w:r>
      </w:p>
    </w:sdtContent>
  </w:sdt>
  <w:p w14:paraId="30564AC3" w14:textId="77777777" w:rsidR="00BE739E" w:rsidRPr="00BE739E" w:rsidRDefault="00BE73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F6BB" w14:textId="77777777" w:rsidR="00F4182F" w:rsidRDefault="00F4182F" w:rsidP="00F04DC1">
      <w:pPr>
        <w:spacing w:after="0" w:line="240" w:lineRule="auto"/>
      </w:pPr>
      <w:r>
        <w:separator/>
      </w:r>
    </w:p>
  </w:footnote>
  <w:footnote w:type="continuationSeparator" w:id="0">
    <w:p w14:paraId="36C82C7B" w14:textId="77777777" w:rsidR="00F4182F" w:rsidRDefault="00F4182F" w:rsidP="00F04DC1">
      <w:pPr>
        <w:spacing w:after="0" w:line="240" w:lineRule="auto"/>
      </w:pPr>
      <w:r>
        <w:continuationSeparator/>
      </w:r>
    </w:p>
  </w:footnote>
  <w:footnote w:id="1">
    <w:p w14:paraId="35CC98F8" w14:textId="77777777" w:rsidR="001B3AD3" w:rsidRDefault="001B3AD3" w:rsidP="001B3AD3">
      <w:pPr>
        <w:pStyle w:val="FootnoteText"/>
        <w:jc w:val="both"/>
      </w:pPr>
      <w:r w:rsidRPr="0071602E">
        <w:rPr>
          <w:rStyle w:val="FootnoteReference"/>
          <w:rFonts w:eastAsiaTheme="majorEastAsia"/>
        </w:rPr>
        <w:footnoteRef/>
      </w:r>
      <w:r w:rsidRPr="0071602E">
        <w:t xml:space="preserve"> </w:t>
      </w:r>
      <w:r w:rsidRPr="0071602E">
        <w:rPr>
          <w:u w:val="single"/>
        </w:rPr>
        <w:t>See</w:t>
      </w:r>
      <w:r w:rsidRPr="0071602E">
        <w:t xml:space="preserve"> Timothy Capowski, et al., </w:t>
      </w:r>
      <w:r>
        <w:t>“</w:t>
      </w:r>
      <w:r w:rsidRPr="009529A0">
        <w:rPr>
          <w:i/>
          <w:iCs/>
        </w:rPr>
        <w:t xml:space="preserve">The Punitive ‘Failure </w:t>
      </w:r>
      <w:proofErr w:type="gramStart"/>
      <w:r w:rsidRPr="009529A0">
        <w:rPr>
          <w:i/>
          <w:iCs/>
        </w:rPr>
        <w:t>To</w:t>
      </w:r>
      <w:proofErr w:type="gramEnd"/>
      <w:r w:rsidRPr="009529A0">
        <w:rPr>
          <w:i/>
          <w:iCs/>
        </w:rPr>
        <w:t xml:space="preserve"> Take Responsibility’ Trope Must Be Entirely Policed Out </w:t>
      </w:r>
      <w:proofErr w:type="gramStart"/>
      <w:r w:rsidRPr="009529A0">
        <w:rPr>
          <w:i/>
          <w:iCs/>
        </w:rPr>
        <w:t>Of</w:t>
      </w:r>
      <w:proofErr w:type="gramEnd"/>
      <w:r w:rsidRPr="009529A0">
        <w:rPr>
          <w:i/>
          <w:iCs/>
        </w:rPr>
        <w:t xml:space="preserve"> Tort Actions </w:t>
      </w:r>
      <w:proofErr w:type="gramStart"/>
      <w:r w:rsidRPr="009529A0">
        <w:rPr>
          <w:i/>
          <w:iCs/>
        </w:rPr>
        <w:t>For</w:t>
      </w:r>
      <w:proofErr w:type="gramEnd"/>
      <w:r w:rsidRPr="009529A0">
        <w:rPr>
          <w:i/>
          <w:iCs/>
        </w:rPr>
        <w:t xml:space="preserve"> Compensatory Damages</w:t>
      </w:r>
      <w:r>
        <w:t>”</w:t>
      </w:r>
      <w:r w:rsidRPr="0071602E">
        <w:t>, N.Y.L.J. (November 13, 2020).</w:t>
      </w:r>
    </w:p>
    <w:p w14:paraId="05153724" w14:textId="77777777" w:rsidR="001B3AD3" w:rsidRPr="00875AB2" w:rsidRDefault="001B3AD3" w:rsidP="001B3AD3">
      <w:pPr>
        <w:pStyle w:val="FootnoteText"/>
        <w:jc w:val="both"/>
      </w:pPr>
    </w:p>
  </w:footnote>
  <w:footnote w:id="2">
    <w:p w14:paraId="4F187571" w14:textId="77777777" w:rsidR="003C66EB" w:rsidRPr="0071602E" w:rsidRDefault="003C66EB" w:rsidP="0089544A">
      <w:pPr>
        <w:pStyle w:val="FootnoteText"/>
        <w:jc w:val="both"/>
      </w:pPr>
      <w:r w:rsidRPr="0071602E">
        <w:rPr>
          <w:rStyle w:val="FootnoteReference"/>
        </w:rPr>
        <w:footnoteRef/>
      </w:r>
      <w:r w:rsidRPr="0071602E">
        <w:t xml:space="preserve"> </w:t>
      </w:r>
      <w:r w:rsidRPr="0071602E">
        <w:rPr>
          <w:u w:val="single"/>
        </w:rPr>
        <w:t>Maraviglia v Lokshina</w:t>
      </w:r>
      <w:r w:rsidRPr="0071602E">
        <w:t xml:space="preserve">, 92 A.D.3d 924, 924-925 (2d </w:t>
      </w:r>
      <w:proofErr w:type="spellStart"/>
      <w:r w:rsidRPr="0071602E">
        <w:t>Dep</w:t>
      </w:r>
      <w:r>
        <w:t>’</w:t>
      </w:r>
      <w:r w:rsidRPr="0071602E">
        <w:t>t</w:t>
      </w:r>
      <w:proofErr w:type="spellEnd"/>
      <w:r w:rsidRPr="0071602E">
        <w:t xml:space="preserve"> 2012) (ordering new trial </w:t>
      </w:r>
      <w:r>
        <w:t>“</w:t>
      </w:r>
      <w:r w:rsidRPr="0071602E">
        <w:t>in light of the inappropriate cross-examination of the plaintiffs</w:t>
      </w:r>
      <w:r>
        <w:t>’</w:t>
      </w:r>
      <w:r w:rsidRPr="0071602E">
        <w:t xml:space="preserve"> witnesses, as well as the inflammatory and improper summation comments of counsel for the defendants</w:t>
      </w:r>
      <w:r>
        <w:t>”</w:t>
      </w:r>
      <w:r w:rsidRPr="0071602E">
        <w:t xml:space="preserve"> which included the </w:t>
      </w:r>
      <w:r>
        <w:t>“</w:t>
      </w:r>
      <w:r w:rsidRPr="0071602E">
        <w:t>ma[king of] inflammatory remarks, including commenting during summation that the plaintiff</w:t>
      </w:r>
      <w:r>
        <w:t>’</w:t>
      </w:r>
      <w:r w:rsidRPr="0071602E">
        <w:t xml:space="preserve">s treating physician and the plaintiff were </w:t>
      </w:r>
      <w:r>
        <w:t>‘</w:t>
      </w:r>
      <w:r w:rsidRPr="0071602E">
        <w:t>working the system</w:t>
      </w:r>
      <w:r>
        <w:t>’”</w:t>
      </w:r>
      <w:r w:rsidRPr="0071602E">
        <w:t xml:space="preserve">); </w:t>
      </w:r>
      <w:r w:rsidRPr="00056F7B">
        <w:rPr>
          <w:u w:val="single"/>
        </w:rPr>
        <w:t>Rodriguez v City of New York</w:t>
      </w:r>
      <w:r>
        <w:t>,</w:t>
      </w:r>
      <w:r w:rsidRPr="00B924BD">
        <w:t xml:space="preserve"> 67 A</w:t>
      </w:r>
      <w:r>
        <w:t>.</w:t>
      </w:r>
      <w:r w:rsidRPr="00B924BD">
        <w:t>D</w:t>
      </w:r>
      <w:r>
        <w:t>.</w:t>
      </w:r>
      <w:r w:rsidRPr="00B924BD">
        <w:t>3d 884</w:t>
      </w:r>
      <w:r>
        <w:t xml:space="preserve"> (</w:t>
      </w:r>
      <w:r w:rsidRPr="00B924BD">
        <w:t xml:space="preserve">2d </w:t>
      </w:r>
      <w:proofErr w:type="spellStart"/>
      <w:r w:rsidRPr="00B924BD">
        <w:t>Dep</w:t>
      </w:r>
      <w:r>
        <w:t>’</w:t>
      </w:r>
      <w:r w:rsidRPr="00B924BD">
        <w:t>t</w:t>
      </w:r>
      <w:proofErr w:type="spellEnd"/>
      <w:r w:rsidRPr="00B924BD">
        <w:t xml:space="preserve"> 2009)</w:t>
      </w:r>
      <w:r>
        <w:t xml:space="preserve"> (ordering new trial in light of defense counsel summation statement that “</w:t>
      </w:r>
      <w:r w:rsidRPr="00B924BD">
        <w:t xml:space="preserve"> </w:t>
      </w:r>
      <w:r>
        <w:t>‘</w:t>
      </w:r>
      <w:r w:rsidRPr="00B924BD">
        <w:t>It</w:t>
      </w:r>
      <w:r>
        <w:t>’</w:t>
      </w:r>
      <w:r w:rsidRPr="00B924BD">
        <w:t>s not a lottery. It</w:t>
      </w:r>
      <w:r>
        <w:t>’</w:t>
      </w:r>
      <w:r w:rsidRPr="00B924BD">
        <w:t>s not a game. It</w:t>
      </w:r>
      <w:r>
        <w:t>’</w:t>
      </w:r>
      <w:r w:rsidRPr="00B924BD">
        <w:t xml:space="preserve">s not </w:t>
      </w:r>
      <w:r>
        <w:t>‘</w:t>
      </w:r>
      <w:r w:rsidRPr="00B924BD">
        <w:t>here</w:t>
      </w:r>
      <w:r>
        <w:t>’</w:t>
      </w:r>
      <w:r w:rsidRPr="00B924BD">
        <w:t>s the American dream, come over here, fall off a</w:t>
      </w:r>
      <w:r>
        <w:t xml:space="preserve"> </w:t>
      </w:r>
      <w:r w:rsidRPr="00B924BD">
        <w:t>scaffold, get a million dollars</w:t>
      </w:r>
      <w:r>
        <w:t>’</w:t>
      </w:r>
      <w:r w:rsidRPr="00B924BD">
        <w:t xml:space="preserve"> </w:t>
      </w:r>
      <w:r>
        <w:t>“.).</w:t>
      </w:r>
    </w:p>
    <w:p w14:paraId="785E53C7" w14:textId="77777777" w:rsidR="003C66EB" w:rsidRPr="0071602E" w:rsidRDefault="003C66EB" w:rsidP="003C66EB">
      <w:pPr>
        <w:pStyle w:val="FootnoteText"/>
      </w:pPr>
    </w:p>
  </w:footnote>
  <w:footnote w:id="3">
    <w:p w14:paraId="0334ED24" w14:textId="77777777" w:rsidR="003C66EB" w:rsidRDefault="003C66EB" w:rsidP="003C66EB">
      <w:pPr>
        <w:pStyle w:val="CommentText"/>
        <w:jc w:val="both"/>
        <w:rPr>
          <w:rFonts w:ascii="Times New Roman" w:eastAsia="Calibri" w:hAnsi="Times New Roman"/>
          <w:noProof/>
        </w:rPr>
      </w:pPr>
      <w:r w:rsidRPr="005C7F6B">
        <w:rPr>
          <w:rStyle w:val="FootnoteReference"/>
          <w:rFonts w:ascii="Times New Roman" w:eastAsiaTheme="majorEastAsia" w:hAnsi="Times New Roman"/>
        </w:rPr>
        <w:footnoteRef/>
      </w:r>
      <w:bookmarkStart w:id="0" w:name="_Hlk72935776"/>
      <w:r>
        <w:rPr>
          <w:rFonts w:ascii="Times New Roman" w:eastAsia="Calibri" w:hAnsi="Times New Roman"/>
          <w:u w:val="single"/>
        </w:rPr>
        <w:t xml:space="preserve"> </w:t>
      </w:r>
      <w:r w:rsidRPr="005433B9">
        <w:rPr>
          <w:rFonts w:ascii="Times New Roman" w:eastAsia="Calibri" w:hAnsi="Times New Roman"/>
          <w:u w:val="single"/>
        </w:rPr>
        <w:t>See</w:t>
      </w:r>
      <w:r w:rsidRPr="005433B9">
        <w:rPr>
          <w:rFonts w:ascii="Times New Roman" w:eastAsia="Calibri" w:hAnsi="Times New Roman"/>
        </w:rPr>
        <w:t xml:space="preserve"> </w:t>
      </w:r>
      <w:r w:rsidRPr="005433B9">
        <w:rPr>
          <w:rFonts w:ascii="Times New Roman" w:eastAsia="Calibri" w:hAnsi="Times New Roman"/>
          <w:u w:val="single"/>
        </w:rPr>
        <w:t>Whittenburg v. Werner Enters. Inc.</w:t>
      </w:r>
      <w:r w:rsidRPr="005433B9">
        <w:rPr>
          <w:rFonts w:ascii="Times New Roman" w:eastAsia="Calibri" w:hAnsi="Times New Roman"/>
        </w:rPr>
        <w:t>, 561 F.3d 1122, 1129-30 (10th Cir. 2009) (citations omitted) (counsel</w:t>
      </w:r>
      <w:r>
        <w:rPr>
          <w:rFonts w:ascii="Times New Roman" w:eastAsia="Calibri" w:hAnsi="Times New Roman"/>
        </w:rPr>
        <w:t>’</w:t>
      </w:r>
      <w:r w:rsidRPr="005433B9">
        <w:rPr>
          <w:rFonts w:ascii="Times New Roman" w:eastAsia="Calibri" w:hAnsi="Times New Roman"/>
        </w:rPr>
        <w:t xml:space="preserve">s remark that defendants </w:t>
      </w:r>
      <w:r>
        <w:rPr>
          <w:rFonts w:ascii="Times New Roman" w:eastAsia="Calibri" w:hAnsi="Times New Roman"/>
        </w:rPr>
        <w:t>“</w:t>
      </w:r>
      <w:r w:rsidRPr="005433B9">
        <w:rPr>
          <w:rFonts w:ascii="Times New Roman" w:eastAsia="Calibri" w:hAnsi="Times New Roman"/>
        </w:rPr>
        <w:t>spent vast sums of money to avoid responsibility… serves no proper purpose, and for time out of mind [] has been the basis for appellate courts ordering new trials</w:t>
      </w:r>
      <w:r>
        <w:rPr>
          <w:rFonts w:ascii="Times New Roman" w:eastAsia="Calibri" w:hAnsi="Times New Roman"/>
        </w:rPr>
        <w:t>”</w:t>
      </w:r>
      <w:r w:rsidRPr="005433B9">
        <w:rPr>
          <w:rFonts w:ascii="Times New Roman" w:eastAsia="Calibri" w:hAnsi="Times New Roman"/>
        </w:rPr>
        <w:t xml:space="preserve">); </w:t>
      </w:r>
      <w:r w:rsidRPr="005433B9">
        <w:rPr>
          <w:rFonts w:ascii="Times New Roman" w:hAnsi="Times New Roman"/>
          <w:color w:val="212121"/>
          <w:u w:val="single"/>
          <w:shd w:val="clear" w:color="auto" w:fill="FFFFFF"/>
        </w:rPr>
        <w:t>Scheirman v. Picerno</w:t>
      </w:r>
      <w:r w:rsidRPr="005433B9">
        <w:rPr>
          <w:rFonts w:ascii="Times New Roman" w:hAnsi="Times New Roman"/>
          <w:color w:val="212121"/>
          <w:shd w:val="clear" w:color="auto" w:fill="FFFFFF"/>
        </w:rPr>
        <w:t>, 2015 Colo. Dist. LEXIS 1266, at *20 (</w:t>
      </w:r>
      <w:r w:rsidRPr="005433B9">
        <w:rPr>
          <w:rFonts w:ascii="Times New Roman" w:hAnsi="Times New Roman"/>
        </w:rPr>
        <w:t xml:space="preserve">Colo., Denver </w:t>
      </w:r>
      <w:proofErr w:type="spellStart"/>
      <w:r w:rsidRPr="005433B9">
        <w:rPr>
          <w:rFonts w:ascii="Times New Roman" w:hAnsi="Times New Roman"/>
        </w:rPr>
        <w:t>Dist.Ct</w:t>
      </w:r>
      <w:proofErr w:type="spellEnd"/>
      <w:r w:rsidRPr="005433B9">
        <w:rPr>
          <w:rFonts w:ascii="Times New Roman" w:hAnsi="Times New Roman"/>
        </w:rPr>
        <w:t>. 2015)</w:t>
      </w:r>
      <w:r w:rsidRPr="005433B9">
        <w:rPr>
          <w:rFonts w:ascii="Times New Roman" w:eastAsia="Calibri" w:hAnsi="Times New Roman"/>
        </w:rPr>
        <w:t xml:space="preserve">; </w:t>
      </w:r>
      <w:r w:rsidRPr="005433B9">
        <w:rPr>
          <w:rFonts w:ascii="Times New Roman" w:hAnsi="Times New Roman"/>
          <w:color w:val="000000"/>
          <w:u w:val="single"/>
          <w:bdr w:val="none" w:sz="0" w:space="0" w:color="auto" w:frame="1"/>
        </w:rPr>
        <w:t>R.J. Reynolds Tobacco Co. v. Robinson</w:t>
      </w:r>
      <w:r w:rsidRPr="005433B9">
        <w:rPr>
          <w:rFonts w:ascii="Times New Roman" w:hAnsi="Times New Roman"/>
          <w:color w:val="000000"/>
        </w:rPr>
        <w:t>, 216 So. 3d 674</w:t>
      </w:r>
      <w:r w:rsidRPr="005433B9">
        <w:rPr>
          <w:rFonts w:ascii="Times New Roman" w:hAnsi="Times New Roman"/>
          <w:noProof/>
          <w:color w:val="000000"/>
        </w:rPr>
        <w:t>, 681</w:t>
      </w:r>
      <w:r w:rsidRPr="005433B9">
        <w:rPr>
          <w:rFonts w:ascii="Times New Roman" w:hAnsi="Times New Roman"/>
          <w:color w:val="000000"/>
        </w:rPr>
        <w:t xml:space="preserve"> (Fla. Dist. Ct. App. 2017)</w:t>
      </w:r>
      <w:r w:rsidRPr="005433B9">
        <w:rPr>
          <w:rFonts w:ascii="Times New Roman" w:eastAsia="Calibri" w:hAnsi="Times New Roman"/>
        </w:rPr>
        <w:t xml:space="preserve"> (citations omitted) (</w:t>
      </w:r>
      <w:r>
        <w:rPr>
          <w:rFonts w:ascii="Times New Roman" w:eastAsia="Calibri" w:hAnsi="Times New Roman"/>
        </w:rPr>
        <w:t>“</w:t>
      </w:r>
      <w:r w:rsidRPr="005433B9">
        <w:rPr>
          <w:rFonts w:ascii="Times New Roman" w:eastAsia="Calibri" w:hAnsi="Times New Roman"/>
        </w:rPr>
        <w:t>A plaintiff may not suggest to the jury that a defendant is somehow acting improperly by defending itself at trial or that a defendant should be punished for contesting damages</w:t>
      </w:r>
      <w:r>
        <w:rPr>
          <w:rFonts w:ascii="Times New Roman" w:eastAsia="Calibri" w:hAnsi="Times New Roman"/>
        </w:rPr>
        <w:t>”</w:t>
      </w:r>
      <w:r w:rsidRPr="005433B9">
        <w:rPr>
          <w:rFonts w:ascii="Times New Roman" w:eastAsia="Calibri" w:hAnsi="Times New Roman"/>
        </w:rPr>
        <w:t>);</w:t>
      </w:r>
      <w:r>
        <w:rPr>
          <w:rFonts w:ascii="Times New Roman" w:eastAsia="Calibri" w:hAnsi="Times New Roman"/>
        </w:rPr>
        <w:t xml:space="preserve"> </w:t>
      </w:r>
      <w:r w:rsidRPr="005433B9">
        <w:rPr>
          <w:rFonts w:ascii="Times New Roman" w:hAnsi="Times New Roman"/>
          <w:noProof/>
          <w:color w:val="000000"/>
          <w:u w:val="single"/>
          <w:bdr w:val="none" w:sz="0" w:space="0" w:color="auto" w:frame="1"/>
        </w:rPr>
        <w:t>Homeowners Choice Prop. &amp; Cas. Ins. Co., Inc. v. Kuwas</w:t>
      </w:r>
      <w:r w:rsidRPr="005433B9">
        <w:rPr>
          <w:rFonts w:ascii="Times New Roman" w:hAnsi="Times New Roman"/>
          <w:noProof/>
          <w:color w:val="000000"/>
        </w:rPr>
        <w:t>, 251 So. 3d 181, 187 (Fla. Dist. Ct. App. 2018)</w:t>
      </w:r>
      <w:r w:rsidRPr="005433B9">
        <w:rPr>
          <w:rFonts w:ascii="Times New Roman" w:eastAsia="Calibri" w:hAnsi="Times New Roman"/>
        </w:rPr>
        <w:t xml:space="preserve"> (same)</w:t>
      </w:r>
      <w:r w:rsidRPr="00CF0427">
        <w:rPr>
          <w:rFonts w:ascii="Times New Roman" w:eastAsia="Calibri" w:hAnsi="Times New Roman"/>
          <w:noProof/>
        </w:rPr>
        <w:t>.</w:t>
      </w:r>
      <w:bookmarkEnd w:id="0"/>
    </w:p>
    <w:p w14:paraId="207A42A4" w14:textId="77777777" w:rsidR="003C66EB" w:rsidRPr="00CF0427" w:rsidRDefault="003C66EB" w:rsidP="003C66EB">
      <w:pPr>
        <w:pStyle w:val="CommentText"/>
        <w:jc w:val="both"/>
        <w:rPr>
          <w:rFonts w:ascii="Times New Roman" w:hAnsi="Times New Roman"/>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45D"/>
    <w:multiLevelType w:val="hybridMultilevel"/>
    <w:tmpl w:val="FD6CB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6C6D52"/>
    <w:multiLevelType w:val="hybridMultilevel"/>
    <w:tmpl w:val="76B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74A94"/>
    <w:multiLevelType w:val="hybridMultilevel"/>
    <w:tmpl w:val="10F4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5A4DB6"/>
    <w:multiLevelType w:val="hybridMultilevel"/>
    <w:tmpl w:val="883E170E"/>
    <w:lvl w:ilvl="0" w:tplc="F0CAF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97822">
    <w:abstractNumId w:val="2"/>
  </w:num>
  <w:num w:numId="2" w16cid:durableId="344286652">
    <w:abstractNumId w:val="1"/>
  </w:num>
  <w:num w:numId="3" w16cid:durableId="694844409">
    <w:abstractNumId w:val="0"/>
  </w:num>
  <w:num w:numId="4" w16cid:durableId="1251624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1"/>
    <w:rsid w:val="00001A13"/>
    <w:rsid w:val="000030AF"/>
    <w:rsid w:val="000058ED"/>
    <w:rsid w:val="00011A78"/>
    <w:rsid w:val="00011BDE"/>
    <w:rsid w:val="00016AFE"/>
    <w:rsid w:val="0002272D"/>
    <w:rsid w:val="00023E72"/>
    <w:rsid w:val="00032D43"/>
    <w:rsid w:val="00032D83"/>
    <w:rsid w:val="00037EA2"/>
    <w:rsid w:val="00042C01"/>
    <w:rsid w:val="000503EF"/>
    <w:rsid w:val="0005354D"/>
    <w:rsid w:val="00054C50"/>
    <w:rsid w:val="0006610F"/>
    <w:rsid w:val="000732AC"/>
    <w:rsid w:val="00080AE9"/>
    <w:rsid w:val="0008508A"/>
    <w:rsid w:val="000859C7"/>
    <w:rsid w:val="00087BD5"/>
    <w:rsid w:val="00094139"/>
    <w:rsid w:val="000979A7"/>
    <w:rsid w:val="000C2E8B"/>
    <w:rsid w:val="000C421A"/>
    <w:rsid w:val="000C44C5"/>
    <w:rsid w:val="000C75B4"/>
    <w:rsid w:val="000D0521"/>
    <w:rsid w:val="000D56AA"/>
    <w:rsid w:val="000D62B9"/>
    <w:rsid w:val="000E01E0"/>
    <w:rsid w:val="000E4923"/>
    <w:rsid w:val="000E6943"/>
    <w:rsid w:val="00103A3C"/>
    <w:rsid w:val="001115FB"/>
    <w:rsid w:val="001213F1"/>
    <w:rsid w:val="00123647"/>
    <w:rsid w:val="00125AC0"/>
    <w:rsid w:val="001353AB"/>
    <w:rsid w:val="001363E3"/>
    <w:rsid w:val="001556E5"/>
    <w:rsid w:val="00156C88"/>
    <w:rsid w:val="00157C50"/>
    <w:rsid w:val="00157E64"/>
    <w:rsid w:val="0016431F"/>
    <w:rsid w:val="001643A7"/>
    <w:rsid w:val="00170EA0"/>
    <w:rsid w:val="00170F28"/>
    <w:rsid w:val="00170FFB"/>
    <w:rsid w:val="00173D47"/>
    <w:rsid w:val="00174486"/>
    <w:rsid w:val="00175DD3"/>
    <w:rsid w:val="001903A4"/>
    <w:rsid w:val="00194F0B"/>
    <w:rsid w:val="001A04CB"/>
    <w:rsid w:val="001B03CC"/>
    <w:rsid w:val="001B2A12"/>
    <w:rsid w:val="001B3AD3"/>
    <w:rsid w:val="001B7416"/>
    <w:rsid w:val="001C1F17"/>
    <w:rsid w:val="001C5750"/>
    <w:rsid w:val="001C6200"/>
    <w:rsid w:val="001D5BF0"/>
    <w:rsid w:val="001D6665"/>
    <w:rsid w:val="001E3B51"/>
    <w:rsid w:val="001E7731"/>
    <w:rsid w:val="002018E7"/>
    <w:rsid w:val="00201F16"/>
    <w:rsid w:val="0020544E"/>
    <w:rsid w:val="00205790"/>
    <w:rsid w:val="002108F5"/>
    <w:rsid w:val="002116DF"/>
    <w:rsid w:val="002128D5"/>
    <w:rsid w:val="0021518C"/>
    <w:rsid w:val="00216C68"/>
    <w:rsid w:val="00217859"/>
    <w:rsid w:val="00221138"/>
    <w:rsid w:val="00233420"/>
    <w:rsid w:val="0023752B"/>
    <w:rsid w:val="00240130"/>
    <w:rsid w:val="002404FB"/>
    <w:rsid w:val="00243877"/>
    <w:rsid w:val="00246398"/>
    <w:rsid w:val="00247BF2"/>
    <w:rsid w:val="00252ACF"/>
    <w:rsid w:val="00253C3B"/>
    <w:rsid w:val="00260271"/>
    <w:rsid w:val="002659CB"/>
    <w:rsid w:val="0027132F"/>
    <w:rsid w:val="00273519"/>
    <w:rsid w:val="00276371"/>
    <w:rsid w:val="00276E76"/>
    <w:rsid w:val="00276FD0"/>
    <w:rsid w:val="00284AC2"/>
    <w:rsid w:val="0029047A"/>
    <w:rsid w:val="00295435"/>
    <w:rsid w:val="00297030"/>
    <w:rsid w:val="002A1A91"/>
    <w:rsid w:val="002A1AC1"/>
    <w:rsid w:val="002A489B"/>
    <w:rsid w:val="002B1FB5"/>
    <w:rsid w:val="002B4DEA"/>
    <w:rsid w:val="002C03DB"/>
    <w:rsid w:val="002C1D7E"/>
    <w:rsid w:val="002C3539"/>
    <w:rsid w:val="002C6C50"/>
    <w:rsid w:val="002C7BEC"/>
    <w:rsid w:val="002D1720"/>
    <w:rsid w:val="002D290A"/>
    <w:rsid w:val="002D6742"/>
    <w:rsid w:val="002D7982"/>
    <w:rsid w:val="002E4A6C"/>
    <w:rsid w:val="002F358B"/>
    <w:rsid w:val="002F36A1"/>
    <w:rsid w:val="002F6F01"/>
    <w:rsid w:val="00301983"/>
    <w:rsid w:val="0030200E"/>
    <w:rsid w:val="003037E5"/>
    <w:rsid w:val="00307256"/>
    <w:rsid w:val="00337A58"/>
    <w:rsid w:val="00341AE0"/>
    <w:rsid w:val="003511B7"/>
    <w:rsid w:val="00355CCB"/>
    <w:rsid w:val="0036628E"/>
    <w:rsid w:val="00372A3D"/>
    <w:rsid w:val="0037611C"/>
    <w:rsid w:val="00384486"/>
    <w:rsid w:val="003861A6"/>
    <w:rsid w:val="00386FF9"/>
    <w:rsid w:val="003919A7"/>
    <w:rsid w:val="00392456"/>
    <w:rsid w:val="003A5EE3"/>
    <w:rsid w:val="003B200B"/>
    <w:rsid w:val="003B2F90"/>
    <w:rsid w:val="003B4F3B"/>
    <w:rsid w:val="003C179F"/>
    <w:rsid w:val="003C1AC9"/>
    <w:rsid w:val="003C1D65"/>
    <w:rsid w:val="003C66EB"/>
    <w:rsid w:val="003D1708"/>
    <w:rsid w:val="003D23A9"/>
    <w:rsid w:val="003D2DA0"/>
    <w:rsid w:val="003D6930"/>
    <w:rsid w:val="003E1018"/>
    <w:rsid w:val="003E152C"/>
    <w:rsid w:val="003E221C"/>
    <w:rsid w:val="003E3CAF"/>
    <w:rsid w:val="003E4F92"/>
    <w:rsid w:val="003E6412"/>
    <w:rsid w:val="003F440C"/>
    <w:rsid w:val="003F4E29"/>
    <w:rsid w:val="003F73AD"/>
    <w:rsid w:val="004002A2"/>
    <w:rsid w:val="0040138F"/>
    <w:rsid w:val="00403AC3"/>
    <w:rsid w:val="00407C07"/>
    <w:rsid w:val="0041159E"/>
    <w:rsid w:val="00412747"/>
    <w:rsid w:val="00416EFD"/>
    <w:rsid w:val="004174E1"/>
    <w:rsid w:val="004179A7"/>
    <w:rsid w:val="00425716"/>
    <w:rsid w:val="00431DC6"/>
    <w:rsid w:val="00431F04"/>
    <w:rsid w:val="00434B27"/>
    <w:rsid w:val="0043641C"/>
    <w:rsid w:val="00442C62"/>
    <w:rsid w:val="00445444"/>
    <w:rsid w:val="004463A2"/>
    <w:rsid w:val="0045039B"/>
    <w:rsid w:val="004509DB"/>
    <w:rsid w:val="00452EB9"/>
    <w:rsid w:val="00460735"/>
    <w:rsid w:val="00463A07"/>
    <w:rsid w:val="00464210"/>
    <w:rsid w:val="00464BFC"/>
    <w:rsid w:val="00465297"/>
    <w:rsid w:val="0046702A"/>
    <w:rsid w:val="00470100"/>
    <w:rsid w:val="00472889"/>
    <w:rsid w:val="004736B8"/>
    <w:rsid w:val="004759A4"/>
    <w:rsid w:val="004777B1"/>
    <w:rsid w:val="00483098"/>
    <w:rsid w:val="004840CE"/>
    <w:rsid w:val="00484148"/>
    <w:rsid w:val="0049060B"/>
    <w:rsid w:val="00496B27"/>
    <w:rsid w:val="004A0AE8"/>
    <w:rsid w:val="004A27E9"/>
    <w:rsid w:val="004A6D77"/>
    <w:rsid w:val="004B7F0A"/>
    <w:rsid w:val="004C2288"/>
    <w:rsid w:val="004C29C4"/>
    <w:rsid w:val="004C5E29"/>
    <w:rsid w:val="004D1A87"/>
    <w:rsid w:val="004E2A59"/>
    <w:rsid w:val="004E5D4F"/>
    <w:rsid w:val="00510E9E"/>
    <w:rsid w:val="0052000A"/>
    <w:rsid w:val="00521244"/>
    <w:rsid w:val="00521603"/>
    <w:rsid w:val="0052345F"/>
    <w:rsid w:val="0052676B"/>
    <w:rsid w:val="0052730E"/>
    <w:rsid w:val="00530C84"/>
    <w:rsid w:val="00531963"/>
    <w:rsid w:val="005322E4"/>
    <w:rsid w:val="00535328"/>
    <w:rsid w:val="005402E4"/>
    <w:rsid w:val="00546743"/>
    <w:rsid w:val="00546E37"/>
    <w:rsid w:val="005503BD"/>
    <w:rsid w:val="0055358B"/>
    <w:rsid w:val="00553CBF"/>
    <w:rsid w:val="00554515"/>
    <w:rsid w:val="005553C2"/>
    <w:rsid w:val="0056227A"/>
    <w:rsid w:val="00564F53"/>
    <w:rsid w:val="0056774E"/>
    <w:rsid w:val="00575099"/>
    <w:rsid w:val="00576D3B"/>
    <w:rsid w:val="00581285"/>
    <w:rsid w:val="0059709B"/>
    <w:rsid w:val="005B2C40"/>
    <w:rsid w:val="005B53B4"/>
    <w:rsid w:val="005B69F4"/>
    <w:rsid w:val="005B6FF9"/>
    <w:rsid w:val="005C145C"/>
    <w:rsid w:val="005C46CF"/>
    <w:rsid w:val="005C5958"/>
    <w:rsid w:val="005C7111"/>
    <w:rsid w:val="005D0098"/>
    <w:rsid w:val="005D07AA"/>
    <w:rsid w:val="005D2B0A"/>
    <w:rsid w:val="005D558D"/>
    <w:rsid w:val="005E6319"/>
    <w:rsid w:val="005F3FA2"/>
    <w:rsid w:val="005F4091"/>
    <w:rsid w:val="006040B1"/>
    <w:rsid w:val="00605711"/>
    <w:rsid w:val="006073BD"/>
    <w:rsid w:val="00607610"/>
    <w:rsid w:val="00616B00"/>
    <w:rsid w:val="00620207"/>
    <w:rsid w:val="00623FBD"/>
    <w:rsid w:val="006250FA"/>
    <w:rsid w:val="006279BB"/>
    <w:rsid w:val="00632B35"/>
    <w:rsid w:val="0063395A"/>
    <w:rsid w:val="006372C5"/>
    <w:rsid w:val="00641C7E"/>
    <w:rsid w:val="00647B05"/>
    <w:rsid w:val="006656AB"/>
    <w:rsid w:val="006706C8"/>
    <w:rsid w:val="00671864"/>
    <w:rsid w:val="006808C3"/>
    <w:rsid w:val="00695827"/>
    <w:rsid w:val="006A262B"/>
    <w:rsid w:val="006A2F38"/>
    <w:rsid w:val="006B3CEA"/>
    <w:rsid w:val="006B63D4"/>
    <w:rsid w:val="006B73E5"/>
    <w:rsid w:val="006D4E39"/>
    <w:rsid w:val="006D59AB"/>
    <w:rsid w:val="006E0F38"/>
    <w:rsid w:val="006F028C"/>
    <w:rsid w:val="006F3739"/>
    <w:rsid w:val="006F3B18"/>
    <w:rsid w:val="007003E8"/>
    <w:rsid w:val="007045B4"/>
    <w:rsid w:val="00704ACF"/>
    <w:rsid w:val="00712126"/>
    <w:rsid w:val="00712F96"/>
    <w:rsid w:val="00731C19"/>
    <w:rsid w:val="00732AB9"/>
    <w:rsid w:val="00736B38"/>
    <w:rsid w:val="0074108C"/>
    <w:rsid w:val="0074347E"/>
    <w:rsid w:val="007457A4"/>
    <w:rsid w:val="007458C5"/>
    <w:rsid w:val="00756B95"/>
    <w:rsid w:val="00760F5B"/>
    <w:rsid w:val="00760FFE"/>
    <w:rsid w:val="007637D2"/>
    <w:rsid w:val="00765B24"/>
    <w:rsid w:val="0077017D"/>
    <w:rsid w:val="00782E8E"/>
    <w:rsid w:val="00784B1E"/>
    <w:rsid w:val="00785289"/>
    <w:rsid w:val="00795F6A"/>
    <w:rsid w:val="007A07FA"/>
    <w:rsid w:val="007A7028"/>
    <w:rsid w:val="007B2E33"/>
    <w:rsid w:val="007B5C23"/>
    <w:rsid w:val="007B6857"/>
    <w:rsid w:val="007B738F"/>
    <w:rsid w:val="007C2A4F"/>
    <w:rsid w:val="0080062F"/>
    <w:rsid w:val="00803D83"/>
    <w:rsid w:val="008067BA"/>
    <w:rsid w:val="008068E8"/>
    <w:rsid w:val="008075A2"/>
    <w:rsid w:val="0081273C"/>
    <w:rsid w:val="00812CCD"/>
    <w:rsid w:val="0082098F"/>
    <w:rsid w:val="00822F18"/>
    <w:rsid w:val="00827125"/>
    <w:rsid w:val="00832D81"/>
    <w:rsid w:val="0083384A"/>
    <w:rsid w:val="008346B4"/>
    <w:rsid w:val="00836AAE"/>
    <w:rsid w:val="008411A0"/>
    <w:rsid w:val="00845AD1"/>
    <w:rsid w:val="0085215F"/>
    <w:rsid w:val="008570B8"/>
    <w:rsid w:val="00861226"/>
    <w:rsid w:val="00870342"/>
    <w:rsid w:val="00873AFC"/>
    <w:rsid w:val="00877FBB"/>
    <w:rsid w:val="008803EF"/>
    <w:rsid w:val="00881FE3"/>
    <w:rsid w:val="008849CA"/>
    <w:rsid w:val="00884BD9"/>
    <w:rsid w:val="00887EC2"/>
    <w:rsid w:val="008931EA"/>
    <w:rsid w:val="008943C9"/>
    <w:rsid w:val="0089544A"/>
    <w:rsid w:val="008A369E"/>
    <w:rsid w:val="008A3FE2"/>
    <w:rsid w:val="008A6D75"/>
    <w:rsid w:val="008B0E77"/>
    <w:rsid w:val="008D5ED5"/>
    <w:rsid w:val="008E19B4"/>
    <w:rsid w:val="008F38D4"/>
    <w:rsid w:val="008F4244"/>
    <w:rsid w:val="008F4D51"/>
    <w:rsid w:val="009041DB"/>
    <w:rsid w:val="0090731E"/>
    <w:rsid w:val="009100C1"/>
    <w:rsid w:val="00916129"/>
    <w:rsid w:val="00916389"/>
    <w:rsid w:val="00921410"/>
    <w:rsid w:val="00932C8D"/>
    <w:rsid w:val="00936976"/>
    <w:rsid w:val="00940129"/>
    <w:rsid w:val="00941D50"/>
    <w:rsid w:val="009426F9"/>
    <w:rsid w:val="00952120"/>
    <w:rsid w:val="009556FF"/>
    <w:rsid w:val="009630B9"/>
    <w:rsid w:val="00963CB1"/>
    <w:rsid w:val="009643F7"/>
    <w:rsid w:val="00964C09"/>
    <w:rsid w:val="00966C3A"/>
    <w:rsid w:val="00971F96"/>
    <w:rsid w:val="00973D1D"/>
    <w:rsid w:val="00975F7D"/>
    <w:rsid w:val="00982BCD"/>
    <w:rsid w:val="0098315E"/>
    <w:rsid w:val="00987CBA"/>
    <w:rsid w:val="009918E8"/>
    <w:rsid w:val="00991DEB"/>
    <w:rsid w:val="009934E6"/>
    <w:rsid w:val="009937BC"/>
    <w:rsid w:val="009A05AE"/>
    <w:rsid w:val="009A0DB8"/>
    <w:rsid w:val="009A12D7"/>
    <w:rsid w:val="009A1E0A"/>
    <w:rsid w:val="009A310E"/>
    <w:rsid w:val="009A7D60"/>
    <w:rsid w:val="009B1D70"/>
    <w:rsid w:val="009B705F"/>
    <w:rsid w:val="009C222B"/>
    <w:rsid w:val="009C7DD3"/>
    <w:rsid w:val="009D1D85"/>
    <w:rsid w:val="009D3A08"/>
    <w:rsid w:val="009D48D9"/>
    <w:rsid w:val="009D5621"/>
    <w:rsid w:val="009E48CA"/>
    <w:rsid w:val="009E7D72"/>
    <w:rsid w:val="009F263A"/>
    <w:rsid w:val="009F269B"/>
    <w:rsid w:val="009F4374"/>
    <w:rsid w:val="009F77E1"/>
    <w:rsid w:val="00A0269A"/>
    <w:rsid w:val="00A04581"/>
    <w:rsid w:val="00A049FC"/>
    <w:rsid w:val="00A069EB"/>
    <w:rsid w:val="00A0731F"/>
    <w:rsid w:val="00A1311D"/>
    <w:rsid w:val="00A131F9"/>
    <w:rsid w:val="00A14BC6"/>
    <w:rsid w:val="00A15E06"/>
    <w:rsid w:val="00A25845"/>
    <w:rsid w:val="00A2735E"/>
    <w:rsid w:val="00A32569"/>
    <w:rsid w:val="00A40A1A"/>
    <w:rsid w:val="00A418D6"/>
    <w:rsid w:val="00A45D9B"/>
    <w:rsid w:val="00A50669"/>
    <w:rsid w:val="00A50E0F"/>
    <w:rsid w:val="00A51259"/>
    <w:rsid w:val="00A51B14"/>
    <w:rsid w:val="00A52F6A"/>
    <w:rsid w:val="00A55B77"/>
    <w:rsid w:val="00A55F3F"/>
    <w:rsid w:val="00A56705"/>
    <w:rsid w:val="00A56B55"/>
    <w:rsid w:val="00A631E2"/>
    <w:rsid w:val="00A64CE6"/>
    <w:rsid w:val="00A70148"/>
    <w:rsid w:val="00A70685"/>
    <w:rsid w:val="00A7104D"/>
    <w:rsid w:val="00A72C52"/>
    <w:rsid w:val="00A7427F"/>
    <w:rsid w:val="00A7649D"/>
    <w:rsid w:val="00A7676C"/>
    <w:rsid w:val="00A7691E"/>
    <w:rsid w:val="00A81043"/>
    <w:rsid w:val="00A817AB"/>
    <w:rsid w:val="00A90F86"/>
    <w:rsid w:val="00A92F12"/>
    <w:rsid w:val="00AA06DC"/>
    <w:rsid w:val="00AA567F"/>
    <w:rsid w:val="00AB0B06"/>
    <w:rsid w:val="00AB7417"/>
    <w:rsid w:val="00AC1EB0"/>
    <w:rsid w:val="00AC6565"/>
    <w:rsid w:val="00AE0DFC"/>
    <w:rsid w:val="00AE474D"/>
    <w:rsid w:val="00AE6512"/>
    <w:rsid w:val="00AE79A2"/>
    <w:rsid w:val="00AF0A70"/>
    <w:rsid w:val="00AF5F8E"/>
    <w:rsid w:val="00B07EE9"/>
    <w:rsid w:val="00B11488"/>
    <w:rsid w:val="00B220D6"/>
    <w:rsid w:val="00B23235"/>
    <w:rsid w:val="00B2643B"/>
    <w:rsid w:val="00B30D3B"/>
    <w:rsid w:val="00B31733"/>
    <w:rsid w:val="00B3197F"/>
    <w:rsid w:val="00B3567D"/>
    <w:rsid w:val="00B37F5B"/>
    <w:rsid w:val="00B52258"/>
    <w:rsid w:val="00B63321"/>
    <w:rsid w:val="00B74A9A"/>
    <w:rsid w:val="00B74B72"/>
    <w:rsid w:val="00B753D5"/>
    <w:rsid w:val="00B7681B"/>
    <w:rsid w:val="00B830FE"/>
    <w:rsid w:val="00B87EE8"/>
    <w:rsid w:val="00B91892"/>
    <w:rsid w:val="00B91E54"/>
    <w:rsid w:val="00B93EFD"/>
    <w:rsid w:val="00B953B1"/>
    <w:rsid w:val="00B97FA5"/>
    <w:rsid w:val="00BA28E1"/>
    <w:rsid w:val="00BA3A26"/>
    <w:rsid w:val="00BA477F"/>
    <w:rsid w:val="00BA5343"/>
    <w:rsid w:val="00BB2C9D"/>
    <w:rsid w:val="00BB647E"/>
    <w:rsid w:val="00BB7226"/>
    <w:rsid w:val="00BC5305"/>
    <w:rsid w:val="00BC7057"/>
    <w:rsid w:val="00BD3406"/>
    <w:rsid w:val="00BE0208"/>
    <w:rsid w:val="00BE739E"/>
    <w:rsid w:val="00BF0B5D"/>
    <w:rsid w:val="00C1076B"/>
    <w:rsid w:val="00C227E8"/>
    <w:rsid w:val="00C26517"/>
    <w:rsid w:val="00C277C3"/>
    <w:rsid w:val="00C27B95"/>
    <w:rsid w:val="00C27E3B"/>
    <w:rsid w:val="00C32ACF"/>
    <w:rsid w:val="00C419CF"/>
    <w:rsid w:val="00C4228C"/>
    <w:rsid w:val="00C43074"/>
    <w:rsid w:val="00C4429F"/>
    <w:rsid w:val="00C51CFC"/>
    <w:rsid w:val="00C51E80"/>
    <w:rsid w:val="00C51F23"/>
    <w:rsid w:val="00C60492"/>
    <w:rsid w:val="00C63F6B"/>
    <w:rsid w:val="00C70A98"/>
    <w:rsid w:val="00C749AC"/>
    <w:rsid w:val="00C82697"/>
    <w:rsid w:val="00C919C6"/>
    <w:rsid w:val="00C92272"/>
    <w:rsid w:val="00C9263A"/>
    <w:rsid w:val="00C94BC8"/>
    <w:rsid w:val="00C95D90"/>
    <w:rsid w:val="00CB3CEF"/>
    <w:rsid w:val="00CD1B6C"/>
    <w:rsid w:val="00CD5474"/>
    <w:rsid w:val="00CD727A"/>
    <w:rsid w:val="00CD7514"/>
    <w:rsid w:val="00CE0C66"/>
    <w:rsid w:val="00CE1010"/>
    <w:rsid w:val="00CE4F8E"/>
    <w:rsid w:val="00CE5AE6"/>
    <w:rsid w:val="00CF0955"/>
    <w:rsid w:val="00CF1556"/>
    <w:rsid w:val="00CF73B2"/>
    <w:rsid w:val="00D0110D"/>
    <w:rsid w:val="00D01AAB"/>
    <w:rsid w:val="00D02698"/>
    <w:rsid w:val="00D1321A"/>
    <w:rsid w:val="00D17C52"/>
    <w:rsid w:val="00D363E2"/>
    <w:rsid w:val="00D406DC"/>
    <w:rsid w:val="00D43D11"/>
    <w:rsid w:val="00D46294"/>
    <w:rsid w:val="00D63057"/>
    <w:rsid w:val="00D63AD3"/>
    <w:rsid w:val="00D643F8"/>
    <w:rsid w:val="00D66F1C"/>
    <w:rsid w:val="00D70AF0"/>
    <w:rsid w:val="00D80842"/>
    <w:rsid w:val="00D80B97"/>
    <w:rsid w:val="00D851C7"/>
    <w:rsid w:val="00D85C06"/>
    <w:rsid w:val="00D90F7C"/>
    <w:rsid w:val="00D966F2"/>
    <w:rsid w:val="00D96862"/>
    <w:rsid w:val="00DA0880"/>
    <w:rsid w:val="00DA1EC7"/>
    <w:rsid w:val="00DA3E33"/>
    <w:rsid w:val="00DA4179"/>
    <w:rsid w:val="00DA7A5E"/>
    <w:rsid w:val="00DC01E7"/>
    <w:rsid w:val="00DC315E"/>
    <w:rsid w:val="00DC699E"/>
    <w:rsid w:val="00DD67DA"/>
    <w:rsid w:val="00DD77AF"/>
    <w:rsid w:val="00DE0931"/>
    <w:rsid w:val="00DE0BEA"/>
    <w:rsid w:val="00DE1891"/>
    <w:rsid w:val="00DF136F"/>
    <w:rsid w:val="00DF2FB9"/>
    <w:rsid w:val="00DF336D"/>
    <w:rsid w:val="00DF39AD"/>
    <w:rsid w:val="00DF5BF3"/>
    <w:rsid w:val="00E0452C"/>
    <w:rsid w:val="00E04B7A"/>
    <w:rsid w:val="00E10F7F"/>
    <w:rsid w:val="00E12D49"/>
    <w:rsid w:val="00E12ECB"/>
    <w:rsid w:val="00E1310A"/>
    <w:rsid w:val="00E160C6"/>
    <w:rsid w:val="00E16D90"/>
    <w:rsid w:val="00E17236"/>
    <w:rsid w:val="00E246EC"/>
    <w:rsid w:val="00E30CD7"/>
    <w:rsid w:val="00E31846"/>
    <w:rsid w:val="00E33C43"/>
    <w:rsid w:val="00E3761E"/>
    <w:rsid w:val="00E439AC"/>
    <w:rsid w:val="00E57433"/>
    <w:rsid w:val="00E73D5B"/>
    <w:rsid w:val="00E7568A"/>
    <w:rsid w:val="00E76C48"/>
    <w:rsid w:val="00E960DF"/>
    <w:rsid w:val="00EA2094"/>
    <w:rsid w:val="00EB0259"/>
    <w:rsid w:val="00EB0C88"/>
    <w:rsid w:val="00EB0E02"/>
    <w:rsid w:val="00EB7459"/>
    <w:rsid w:val="00EC09D9"/>
    <w:rsid w:val="00EC1073"/>
    <w:rsid w:val="00ED2ECE"/>
    <w:rsid w:val="00EE60CE"/>
    <w:rsid w:val="00EE79D2"/>
    <w:rsid w:val="00F003CF"/>
    <w:rsid w:val="00F04DC1"/>
    <w:rsid w:val="00F05BE7"/>
    <w:rsid w:val="00F06231"/>
    <w:rsid w:val="00F07036"/>
    <w:rsid w:val="00F07552"/>
    <w:rsid w:val="00F22202"/>
    <w:rsid w:val="00F25376"/>
    <w:rsid w:val="00F263AD"/>
    <w:rsid w:val="00F27597"/>
    <w:rsid w:val="00F312D6"/>
    <w:rsid w:val="00F33E5D"/>
    <w:rsid w:val="00F36031"/>
    <w:rsid w:val="00F4182F"/>
    <w:rsid w:val="00F47390"/>
    <w:rsid w:val="00F52ABC"/>
    <w:rsid w:val="00F646D9"/>
    <w:rsid w:val="00F66087"/>
    <w:rsid w:val="00F67403"/>
    <w:rsid w:val="00F73CD7"/>
    <w:rsid w:val="00F759F2"/>
    <w:rsid w:val="00F83996"/>
    <w:rsid w:val="00F9006A"/>
    <w:rsid w:val="00F90E96"/>
    <w:rsid w:val="00F959A1"/>
    <w:rsid w:val="00FA1820"/>
    <w:rsid w:val="00FA36CB"/>
    <w:rsid w:val="00FA3CAC"/>
    <w:rsid w:val="00FA7BE7"/>
    <w:rsid w:val="00FA7D91"/>
    <w:rsid w:val="00FB0EC2"/>
    <w:rsid w:val="00FB68D8"/>
    <w:rsid w:val="00FC0406"/>
    <w:rsid w:val="00FC1984"/>
    <w:rsid w:val="00FD2DA6"/>
    <w:rsid w:val="00FD5912"/>
    <w:rsid w:val="00FE331B"/>
    <w:rsid w:val="00FE7BB8"/>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E102"/>
  <w15:chartTrackingRefBased/>
  <w15:docId w15:val="{5C1536AB-032E-41C4-B649-02460703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C1"/>
    <w:pPr>
      <w:spacing w:line="256" w:lineRule="auto"/>
    </w:pPr>
  </w:style>
  <w:style w:type="paragraph" w:styleId="Heading1">
    <w:name w:val="heading 1"/>
    <w:basedOn w:val="Normal"/>
    <w:next w:val="Normal"/>
    <w:link w:val="Heading1Char"/>
    <w:uiPriority w:val="9"/>
    <w:qFormat/>
    <w:rsid w:val="00F0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C1"/>
    <w:rPr>
      <w:rFonts w:eastAsiaTheme="majorEastAsia" w:cstheme="majorBidi"/>
      <w:color w:val="272727" w:themeColor="text1" w:themeTint="D8"/>
    </w:rPr>
  </w:style>
  <w:style w:type="paragraph" w:styleId="Title">
    <w:name w:val="Title"/>
    <w:basedOn w:val="Normal"/>
    <w:next w:val="Normal"/>
    <w:link w:val="TitleChar"/>
    <w:uiPriority w:val="10"/>
    <w:qFormat/>
    <w:rsid w:val="00F0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C1"/>
    <w:pPr>
      <w:spacing w:before="160"/>
      <w:jc w:val="center"/>
    </w:pPr>
    <w:rPr>
      <w:i/>
      <w:iCs/>
      <w:color w:val="404040" w:themeColor="text1" w:themeTint="BF"/>
    </w:rPr>
  </w:style>
  <w:style w:type="character" w:customStyle="1" w:styleId="QuoteChar">
    <w:name w:val="Quote Char"/>
    <w:basedOn w:val="DefaultParagraphFont"/>
    <w:link w:val="Quote"/>
    <w:uiPriority w:val="29"/>
    <w:rsid w:val="00F04DC1"/>
    <w:rPr>
      <w:i/>
      <w:iCs/>
      <w:color w:val="404040" w:themeColor="text1" w:themeTint="BF"/>
    </w:rPr>
  </w:style>
  <w:style w:type="paragraph" w:styleId="ListParagraph">
    <w:name w:val="List Paragraph"/>
    <w:basedOn w:val="Normal"/>
    <w:uiPriority w:val="34"/>
    <w:qFormat/>
    <w:rsid w:val="00F04DC1"/>
    <w:pPr>
      <w:ind w:left="720"/>
      <w:contextualSpacing/>
    </w:pPr>
  </w:style>
  <w:style w:type="character" w:styleId="IntenseEmphasis">
    <w:name w:val="Intense Emphasis"/>
    <w:basedOn w:val="DefaultParagraphFont"/>
    <w:uiPriority w:val="21"/>
    <w:qFormat/>
    <w:rsid w:val="00F04DC1"/>
    <w:rPr>
      <w:i/>
      <w:iCs/>
      <w:color w:val="0F4761" w:themeColor="accent1" w:themeShade="BF"/>
    </w:rPr>
  </w:style>
  <w:style w:type="paragraph" w:styleId="IntenseQuote">
    <w:name w:val="Intense Quote"/>
    <w:basedOn w:val="Normal"/>
    <w:next w:val="Normal"/>
    <w:link w:val="IntenseQuoteChar"/>
    <w:uiPriority w:val="30"/>
    <w:qFormat/>
    <w:rsid w:val="00F0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C1"/>
    <w:rPr>
      <w:i/>
      <w:iCs/>
      <w:color w:val="0F4761" w:themeColor="accent1" w:themeShade="BF"/>
    </w:rPr>
  </w:style>
  <w:style w:type="character" w:styleId="IntenseReference">
    <w:name w:val="Intense Reference"/>
    <w:basedOn w:val="DefaultParagraphFont"/>
    <w:uiPriority w:val="32"/>
    <w:qFormat/>
    <w:rsid w:val="00F04DC1"/>
    <w:rPr>
      <w:b/>
      <w:bCs/>
      <w:smallCaps/>
      <w:color w:val="0F4761" w:themeColor="accent1" w:themeShade="BF"/>
      <w:spacing w:val="5"/>
    </w:rPr>
  </w:style>
  <w:style w:type="paragraph" w:styleId="FootnoteText">
    <w:name w:val="footnote text"/>
    <w:basedOn w:val="Normal"/>
    <w:link w:val="FootnoteTextChar"/>
    <w:uiPriority w:val="99"/>
    <w:unhideWhenUsed/>
    <w:rsid w:val="00F04DC1"/>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F04DC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F04DC1"/>
    <w:rPr>
      <w:vertAlign w:val="superscript"/>
    </w:rPr>
  </w:style>
  <w:style w:type="character" w:styleId="CommentReference">
    <w:name w:val="annotation reference"/>
    <w:basedOn w:val="DefaultParagraphFont"/>
    <w:uiPriority w:val="99"/>
    <w:semiHidden/>
    <w:unhideWhenUsed/>
    <w:rsid w:val="005D558D"/>
    <w:rPr>
      <w:sz w:val="16"/>
      <w:szCs w:val="16"/>
    </w:rPr>
  </w:style>
  <w:style w:type="paragraph" w:styleId="CommentText">
    <w:name w:val="annotation text"/>
    <w:basedOn w:val="Normal"/>
    <w:link w:val="CommentTextChar"/>
    <w:uiPriority w:val="99"/>
    <w:unhideWhenUsed/>
    <w:rsid w:val="005D558D"/>
    <w:pPr>
      <w:spacing w:line="240" w:lineRule="auto"/>
    </w:pPr>
    <w:rPr>
      <w:sz w:val="20"/>
      <w:szCs w:val="20"/>
    </w:rPr>
  </w:style>
  <w:style w:type="character" w:customStyle="1" w:styleId="CommentTextChar">
    <w:name w:val="Comment Text Char"/>
    <w:basedOn w:val="DefaultParagraphFont"/>
    <w:link w:val="CommentText"/>
    <w:uiPriority w:val="99"/>
    <w:rsid w:val="005D558D"/>
    <w:rPr>
      <w:sz w:val="20"/>
      <w:szCs w:val="20"/>
    </w:rPr>
  </w:style>
  <w:style w:type="paragraph" w:styleId="CommentSubject">
    <w:name w:val="annotation subject"/>
    <w:basedOn w:val="CommentText"/>
    <w:next w:val="CommentText"/>
    <w:link w:val="CommentSubjectChar"/>
    <w:uiPriority w:val="99"/>
    <w:semiHidden/>
    <w:unhideWhenUsed/>
    <w:rsid w:val="005D558D"/>
    <w:rPr>
      <w:b/>
      <w:bCs/>
    </w:rPr>
  </w:style>
  <w:style w:type="character" w:customStyle="1" w:styleId="CommentSubjectChar">
    <w:name w:val="Comment Subject Char"/>
    <w:basedOn w:val="CommentTextChar"/>
    <w:link w:val="CommentSubject"/>
    <w:uiPriority w:val="99"/>
    <w:semiHidden/>
    <w:rsid w:val="005D558D"/>
    <w:rPr>
      <w:b/>
      <w:bCs/>
      <w:sz w:val="20"/>
      <w:szCs w:val="20"/>
    </w:rPr>
  </w:style>
  <w:style w:type="character" w:styleId="Hyperlink">
    <w:name w:val="Hyperlink"/>
    <w:basedOn w:val="DefaultParagraphFont"/>
    <w:uiPriority w:val="99"/>
    <w:unhideWhenUsed/>
    <w:rsid w:val="002C03DB"/>
    <w:rPr>
      <w:color w:val="467886" w:themeColor="hyperlink"/>
      <w:u w:val="single"/>
    </w:rPr>
  </w:style>
  <w:style w:type="character" w:styleId="UnresolvedMention">
    <w:name w:val="Unresolved Mention"/>
    <w:basedOn w:val="DefaultParagraphFont"/>
    <w:uiPriority w:val="99"/>
    <w:semiHidden/>
    <w:unhideWhenUsed/>
    <w:rsid w:val="002C03DB"/>
    <w:rPr>
      <w:color w:val="605E5C"/>
      <w:shd w:val="clear" w:color="auto" w:fill="E1DFDD"/>
    </w:rPr>
  </w:style>
  <w:style w:type="paragraph" w:styleId="Header">
    <w:name w:val="header"/>
    <w:basedOn w:val="Normal"/>
    <w:link w:val="HeaderChar"/>
    <w:uiPriority w:val="99"/>
    <w:unhideWhenUsed/>
    <w:rsid w:val="00BE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9E"/>
  </w:style>
  <w:style w:type="paragraph" w:styleId="Footer">
    <w:name w:val="footer"/>
    <w:basedOn w:val="Normal"/>
    <w:link w:val="FooterChar"/>
    <w:uiPriority w:val="99"/>
    <w:unhideWhenUsed/>
    <w:rsid w:val="00BE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9E"/>
  </w:style>
  <w:style w:type="paragraph" w:styleId="Revision">
    <w:name w:val="Revision"/>
    <w:hidden/>
    <w:uiPriority w:val="99"/>
    <w:semiHidden/>
    <w:rsid w:val="00A7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247">
      <w:bodyDiv w:val="1"/>
      <w:marLeft w:val="0"/>
      <w:marRight w:val="0"/>
      <w:marTop w:val="0"/>
      <w:marBottom w:val="0"/>
      <w:divBdr>
        <w:top w:val="none" w:sz="0" w:space="0" w:color="auto"/>
        <w:left w:val="none" w:sz="0" w:space="0" w:color="auto"/>
        <w:bottom w:val="none" w:sz="0" w:space="0" w:color="auto"/>
        <w:right w:val="none" w:sz="0" w:space="0" w:color="auto"/>
      </w:divBdr>
      <w:divsChild>
        <w:div w:id="2116052359">
          <w:marLeft w:val="0"/>
          <w:marRight w:val="0"/>
          <w:marTop w:val="0"/>
          <w:marBottom w:val="0"/>
          <w:divBdr>
            <w:top w:val="none" w:sz="0" w:space="0" w:color="auto"/>
            <w:left w:val="none" w:sz="0" w:space="0" w:color="auto"/>
            <w:bottom w:val="none" w:sz="0" w:space="0" w:color="auto"/>
            <w:right w:val="none" w:sz="0" w:space="0" w:color="auto"/>
          </w:divBdr>
        </w:div>
      </w:divsChild>
    </w:div>
    <w:div w:id="1339194856">
      <w:bodyDiv w:val="1"/>
      <w:marLeft w:val="0"/>
      <w:marRight w:val="0"/>
      <w:marTop w:val="0"/>
      <w:marBottom w:val="0"/>
      <w:divBdr>
        <w:top w:val="none" w:sz="0" w:space="0" w:color="auto"/>
        <w:left w:val="none" w:sz="0" w:space="0" w:color="auto"/>
        <w:bottom w:val="none" w:sz="0" w:space="0" w:color="auto"/>
        <w:right w:val="none" w:sz="0" w:space="0" w:color="auto"/>
      </w:divBdr>
    </w:div>
    <w:div w:id="1879587222">
      <w:bodyDiv w:val="1"/>
      <w:marLeft w:val="0"/>
      <w:marRight w:val="0"/>
      <w:marTop w:val="0"/>
      <w:marBottom w:val="0"/>
      <w:divBdr>
        <w:top w:val="none" w:sz="0" w:space="0" w:color="auto"/>
        <w:left w:val="none" w:sz="0" w:space="0" w:color="auto"/>
        <w:bottom w:val="none" w:sz="0" w:space="0" w:color="auto"/>
        <w:right w:val="none" w:sz="0" w:space="0" w:color="auto"/>
      </w:divBdr>
      <w:divsChild>
        <w:div w:id="81202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0D315116AF08498EB5DAEE8AD89C66" ma:contentTypeVersion="5" ma:contentTypeDescription="Create a new document." ma:contentTypeScope="" ma:versionID="b515a544ef48ab0651906b71a24dd33e">
  <xsd:schema xmlns:xsd="http://www.w3.org/2001/XMLSchema" xmlns:xs="http://www.w3.org/2001/XMLSchema" xmlns:p="http://schemas.microsoft.com/office/2006/metadata/properties" xmlns:ns3="8b23216a-5350-4507-ae5a-0c050c6c9bdd" targetNamespace="http://schemas.microsoft.com/office/2006/metadata/properties" ma:root="true" ma:fieldsID="9f8a3f2a3003fef02d7639384815523b" ns3:_="">
    <xsd:import namespace="8b23216a-5350-4507-ae5a-0c050c6c9b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216a-5350-4507-ae5a-0c050c6c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b23216a-5350-4507-ae5a-0c050c6c9bdd" xsi:nil="true"/>
  </documentManagement>
</p:properties>
</file>

<file path=customXml/itemProps1.xml><?xml version="1.0" encoding="utf-8"?>
<ds:datastoreItem xmlns:ds="http://schemas.openxmlformats.org/officeDocument/2006/customXml" ds:itemID="{ABAAD7B5-54C6-48A6-AEEE-CB805A84075F}">
  <ds:schemaRefs>
    <ds:schemaRef ds:uri="http://schemas.openxmlformats.org/officeDocument/2006/bibliography"/>
  </ds:schemaRefs>
</ds:datastoreItem>
</file>

<file path=customXml/itemProps2.xml><?xml version="1.0" encoding="utf-8"?>
<ds:datastoreItem xmlns:ds="http://schemas.openxmlformats.org/officeDocument/2006/customXml" ds:itemID="{0B2B911A-ABCC-4FD4-85FE-8A66C417F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216a-5350-4507-ae5a-0c050c6c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64F92-611F-4D42-B984-029F1CA01E72}">
  <ds:schemaRefs>
    <ds:schemaRef ds:uri="http://schemas.microsoft.com/sharepoint/v3/contenttype/forms"/>
  </ds:schemaRefs>
</ds:datastoreItem>
</file>

<file path=customXml/itemProps4.xml><?xml version="1.0" encoding="utf-8"?>
<ds:datastoreItem xmlns:ds="http://schemas.openxmlformats.org/officeDocument/2006/customXml" ds:itemID="{7C9920EC-9616-4901-B359-7F89A36387CF}">
  <ds:schemaRefs>
    <ds:schemaRef ds:uri="http://schemas.microsoft.com/office/2006/metadata/properties"/>
    <ds:schemaRef ds:uri="http://schemas.microsoft.com/office/infopath/2007/PartnerControls"/>
    <ds:schemaRef ds:uri="8b23216a-5350-4507-ae5a-0c050c6c9bdd"/>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1386</Words>
  <Characters>7239</Characters>
  <Application>Microsoft Office Word</Application>
  <DocSecurity>0</DocSecurity>
  <Lines>314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Pavlini, Esq.</dc:creator>
  <cp:keywords/>
  <dc:description/>
  <cp:lastModifiedBy>Christopher Theobalt, Esq.</cp:lastModifiedBy>
  <cp:revision>64</cp:revision>
  <dcterms:created xsi:type="dcterms:W3CDTF">2025-05-19T23:17:00Z</dcterms:created>
  <dcterms:modified xsi:type="dcterms:W3CDTF">2025-05-20T13:15:00Z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0x010100460D315116AF08498EB5DAEE8AD89C66</vt:lpwstr>
  </property>
</Properties>
</file>