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673" w:type="dxa"/>
        <w:tblLayout w:type="fixed"/>
        <w:tblCellMar>
          <w:left w:w="0" w:type="dxa"/>
          <w:right w:w="0" w:type="dxa"/>
        </w:tblCellMar>
        <w:tblLook w:val="04A0" w:firstRow="1" w:lastRow="0" w:firstColumn="1" w:lastColumn="0" w:noHBand="0" w:noVBand="1"/>
      </w:tblPr>
      <w:tblGrid>
        <w:gridCol w:w="180"/>
        <w:gridCol w:w="3493"/>
      </w:tblGrid>
      <w:tr w:rsidR="00A10AB6" w:rsidRPr="00620207" w14:paraId="4F4844FF" w14:textId="77777777" w:rsidTr="00A10AB6">
        <w:tc>
          <w:tcPr>
            <w:tcW w:w="180" w:type="dxa"/>
          </w:tcPr>
          <w:p w14:paraId="7B779867" w14:textId="77777777" w:rsidR="00A10AB6" w:rsidRPr="00620207" w:rsidRDefault="00A10AB6" w:rsidP="00B74A9A">
            <w:pPr>
              <w:spacing w:after="0" w:line="240" w:lineRule="auto"/>
              <w:contextualSpacing/>
              <w:rPr>
                <w:rFonts w:ascii="Times New Roman" w:hAnsi="Times New Roman" w:cs="Times New Roman"/>
                <w:sz w:val="24"/>
                <w:szCs w:val="24"/>
              </w:rPr>
            </w:pPr>
          </w:p>
        </w:tc>
        <w:tc>
          <w:tcPr>
            <w:tcW w:w="3493" w:type="dxa"/>
            <w:vMerge w:val="restart"/>
            <w:vAlign w:val="center"/>
            <w:hideMark/>
          </w:tcPr>
          <w:p w14:paraId="361E9BB5" w14:textId="77777777" w:rsidR="00A10AB6" w:rsidRPr="00620207" w:rsidRDefault="00A10AB6" w:rsidP="00B74A9A">
            <w:pPr>
              <w:spacing w:after="0" w:line="240" w:lineRule="auto"/>
              <w:contextualSpacing/>
              <w:rPr>
                <w:rFonts w:ascii="Times New Roman" w:hAnsi="Times New Roman" w:cs="Times New Roman"/>
                <w:sz w:val="24"/>
                <w:szCs w:val="24"/>
              </w:rPr>
            </w:pPr>
          </w:p>
        </w:tc>
      </w:tr>
      <w:tr w:rsidR="00A10AB6" w:rsidRPr="00620207" w14:paraId="50645914" w14:textId="77777777" w:rsidTr="00A10AB6">
        <w:tc>
          <w:tcPr>
            <w:tcW w:w="180" w:type="dxa"/>
          </w:tcPr>
          <w:p w14:paraId="6761E977" w14:textId="77777777" w:rsidR="00A10AB6" w:rsidRPr="00620207" w:rsidRDefault="00A10AB6" w:rsidP="00B74A9A">
            <w:pPr>
              <w:spacing w:after="0" w:line="240" w:lineRule="auto"/>
              <w:contextualSpacing/>
              <w:rPr>
                <w:rFonts w:ascii="Times New Roman" w:hAnsi="Times New Roman" w:cs="Times New Roman"/>
                <w:sz w:val="24"/>
                <w:szCs w:val="24"/>
              </w:rPr>
            </w:pPr>
          </w:p>
        </w:tc>
        <w:tc>
          <w:tcPr>
            <w:tcW w:w="3493" w:type="dxa"/>
            <w:vMerge/>
            <w:vAlign w:val="center"/>
            <w:hideMark/>
          </w:tcPr>
          <w:p w14:paraId="32465CD6" w14:textId="77777777" w:rsidR="00A10AB6" w:rsidRPr="00620207" w:rsidRDefault="00A10AB6" w:rsidP="00B74A9A">
            <w:pPr>
              <w:spacing w:after="0" w:line="240" w:lineRule="auto"/>
              <w:contextualSpacing/>
              <w:rPr>
                <w:rFonts w:ascii="Times New Roman" w:hAnsi="Times New Roman" w:cs="Times New Roman"/>
                <w:sz w:val="24"/>
                <w:szCs w:val="24"/>
              </w:rPr>
            </w:pPr>
          </w:p>
        </w:tc>
      </w:tr>
    </w:tbl>
    <w:p w14:paraId="34BA3E37" w14:textId="77777777" w:rsidR="00F04DC1" w:rsidRPr="00620207" w:rsidRDefault="00F04DC1" w:rsidP="00B74A9A">
      <w:pPr>
        <w:spacing w:after="0" w:line="480" w:lineRule="auto"/>
        <w:contextualSpacing/>
        <w:rPr>
          <w:rFonts w:ascii="Times New Roman" w:hAnsi="Times New Roman" w:cs="Times New Roman"/>
          <w:caps/>
          <w:sz w:val="24"/>
          <w:szCs w:val="24"/>
        </w:rPr>
      </w:pPr>
    </w:p>
    <w:p w14:paraId="3BF535A8" w14:textId="4BFBFE44" w:rsidR="00A70148" w:rsidRPr="00620207" w:rsidRDefault="00A10AB6" w:rsidP="00A10AB6">
      <w:pPr>
        <w:spacing w:after="0" w:line="240" w:lineRule="auto"/>
        <w:jc w:val="center"/>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DEFENDANT’S</w:t>
      </w:r>
      <w:r w:rsidR="00F04DC1" w:rsidRPr="00620207">
        <w:rPr>
          <w:rFonts w:ascii="Times New Roman" w:hAnsi="Times New Roman" w:cs="Times New Roman"/>
          <w:bCs/>
          <w:kern w:val="0"/>
          <w:sz w:val="24"/>
          <w:szCs w:val="24"/>
          <w14:ligatures w14:val="none"/>
        </w:rPr>
        <w:t xml:space="preserve"> MOTION </w:t>
      </w:r>
      <w:r w:rsidR="00F04DC1" w:rsidRPr="00620207">
        <w:rPr>
          <w:rFonts w:ascii="Times New Roman" w:hAnsi="Times New Roman" w:cs="Times New Roman"/>
          <w:bCs/>
          <w:i/>
          <w:kern w:val="0"/>
          <w:sz w:val="24"/>
          <w:szCs w:val="24"/>
          <w14:ligatures w14:val="none"/>
        </w:rPr>
        <w:t>IN LIMINE</w:t>
      </w:r>
      <w:r w:rsidR="00F04DC1" w:rsidRPr="00620207">
        <w:rPr>
          <w:rFonts w:ascii="Times New Roman" w:hAnsi="Times New Roman" w:cs="Times New Roman"/>
          <w:bCs/>
          <w:kern w:val="0"/>
          <w:sz w:val="24"/>
          <w:szCs w:val="24"/>
          <w14:ligatures w14:val="none"/>
        </w:rPr>
        <w:t xml:space="preserve"> TO PRECLUDE </w:t>
      </w:r>
      <w:r w:rsidR="00731C19">
        <w:rPr>
          <w:rFonts w:ascii="Times New Roman" w:hAnsi="Times New Roman" w:cs="Times New Roman"/>
          <w:bCs/>
          <w:kern w:val="0"/>
          <w:sz w:val="24"/>
          <w:szCs w:val="24"/>
          <w14:ligatures w14:val="none"/>
        </w:rPr>
        <w:t>GOLDEN RULE ARGUMENTS WELL-SETTLED AS IMPROPER</w:t>
      </w:r>
    </w:p>
    <w:p w14:paraId="40D266FB" w14:textId="77777777" w:rsidR="00A70148" w:rsidRPr="00620207" w:rsidRDefault="00A70148" w:rsidP="00B74A9A">
      <w:pPr>
        <w:spacing w:after="0" w:line="240" w:lineRule="auto"/>
        <w:jc w:val="center"/>
        <w:rPr>
          <w:rFonts w:ascii="Times New Roman" w:hAnsi="Times New Roman" w:cs="Times New Roman"/>
          <w:bCs/>
          <w:kern w:val="0"/>
          <w:sz w:val="24"/>
          <w:szCs w:val="24"/>
          <w14:ligatures w14:val="none"/>
        </w:rPr>
      </w:pPr>
    </w:p>
    <w:p w14:paraId="3A549D91" w14:textId="77777777" w:rsidR="00F04DC1" w:rsidRPr="00620207" w:rsidRDefault="00F04DC1" w:rsidP="00B74A9A">
      <w:pPr>
        <w:spacing w:after="0" w:line="240" w:lineRule="auto"/>
        <w:contextualSpacing/>
        <w:jc w:val="both"/>
        <w:rPr>
          <w:rFonts w:ascii="Times New Roman" w:hAnsi="Times New Roman" w:cs="Times New Roman"/>
          <w:b/>
          <w:sz w:val="24"/>
          <w:szCs w:val="24"/>
        </w:rPr>
      </w:pPr>
    </w:p>
    <w:p w14:paraId="0C1D64F6" w14:textId="77777777" w:rsidR="00F04DC1" w:rsidRPr="00620207" w:rsidRDefault="00F04DC1" w:rsidP="00B74A9A">
      <w:pPr>
        <w:spacing w:after="0" w:line="240" w:lineRule="auto"/>
        <w:ind w:left="4320"/>
        <w:contextualSpacing/>
        <w:rPr>
          <w:rFonts w:ascii="Times New Roman" w:eastAsia="Calibri" w:hAnsi="Times New Roman" w:cs="Times New Roman"/>
          <w:sz w:val="24"/>
          <w:szCs w:val="24"/>
        </w:rPr>
      </w:pPr>
      <w:r w:rsidRPr="00620207">
        <w:rPr>
          <w:rFonts w:ascii="Times New Roman" w:eastAsia="Calibri" w:hAnsi="Times New Roman" w:cs="Times New Roman"/>
          <w:sz w:val="24"/>
          <w:szCs w:val="24"/>
        </w:rPr>
        <w:t>Respectfully submitted,</w:t>
      </w:r>
    </w:p>
    <w:p w14:paraId="5EB6F3D4" w14:textId="77777777" w:rsidR="00F04DC1" w:rsidRPr="00620207" w:rsidRDefault="00F04DC1" w:rsidP="00B74A9A">
      <w:pPr>
        <w:spacing w:after="0" w:line="240" w:lineRule="auto"/>
        <w:ind w:left="4320"/>
        <w:contextualSpacing/>
        <w:rPr>
          <w:rFonts w:ascii="Times New Roman" w:eastAsia="Calibri" w:hAnsi="Times New Roman" w:cs="Times New Roman"/>
          <w:sz w:val="24"/>
          <w:szCs w:val="24"/>
        </w:rPr>
      </w:pPr>
    </w:p>
    <w:p w14:paraId="40943F7C" w14:textId="51656AAA" w:rsidR="002C3539" w:rsidRPr="00620207" w:rsidRDefault="00CD1B6C" w:rsidP="00D052EF">
      <w:pPr>
        <w:spacing w:after="0" w:line="240" w:lineRule="auto"/>
        <w:contextualSpacing/>
        <w:rPr>
          <w:rFonts w:ascii="Times New Roman" w:eastAsia="Calibri" w:hAnsi="Times New Roman" w:cs="Times New Roman"/>
          <w:sz w:val="24"/>
          <w:szCs w:val="24"/>
        </w:rPr>
      </w:pPr>
      <w:r w:rsidRPr="00620207">
        <w:rPr>
          <w:rFonts w:ascii="Times New Roman" w:eastAsia="Calibri" w:hAnsi="Times New Roman" w:cs="Times New Roman"/>
          <w:b/>
          <w:bCs/>
          <w:iCs/>
          <w:sz w:val="24"/>
          <w:szCs w:val="24"/>
        </w:rPr>
        <w:t>DATED</w:t>
      </w:r>
      <w:r w:rsidRPr="00620207">
        <w:rPr>
          <w:rFonts w:ascii="Times New Roman" w:eastAsia="Calibri" w:hAnsi="Times New Roman" w:cs="Times New Roman"/>
          <w:iCs/>
          <w:sz w:val="24"/>
          <w:szCs w:val="24"/>
        </w:rPr>
        <w:t>:</w:t>
      </w:r>
    </w:p>
    <w:p w14:paraId="37D4737D" w14:textId="77777777" w:rsidR="00F04DC1" w:rsidRPr="00620207" w:rsidRDefault="00F04DC1" w:rsidP="00B74A9A">
      <w:pPr>
        <w:spacing w:after="0" w:line="480" w:lineRule="auto"/>
        <w:contextualSpacing/>
        <w:rPr>
          <w:rFonts w:ascii="Times New Roman" w:eastAsia="Calibri" w:hAnsi="Times New Roman" w:cs="Times New Roman"/>
          <w:iCs/>
          <w:sz w:val="24"/>
          <w:szCs w:val="24"/>
        </w:rPr>
      </w:pPr>
    </w:p>
    <w:p w14:paraId="36F425E6" w14:textId="77777777" w:rsidR="00F04DC1" w:rsidRPr="00620207" w:rsidRDefault="00F04DC1" w:rsidP="00B74A9A">
      <w:pPr>
        <w:spacing w:after="0" w:line="480" w:lineRule="auto"/>
        <w:rPr>
          <w:rFonts w:ascii="Times New Roman" w:eastAsia="Times New Roman" w:hAnsi="Times New Roman" w:cs="Times New Roman"/>
          <w:b/>
          <w:kern w:val="0"/>
          <w:sz w:val="24"/>
          <w:szCs w:val="24"/>
          <w14:ligatures w14:val="none"/>
        </w:rPr>
      </w:pPr>
    </w:p>
    <w:p w14:paraId="64355706" w14:textId="77777777" w:rsidR="00F04DC1" w:rsidRPr="00620207" w:rsidRDefault="00F04DC1" w:rsidP="00B74A9A">
      <w:pPr>
        <w:spacing w:after="0" w:line="480" w:lineRule="auto"/>
        <w:contextualSpacing/>
        <w:rPr>
          <w:rFonts w:ascii="Times New Roman" w:hAnsi="Times New Roman" w:cs="Times New Roman"/>
          <w:bCs/>
          <w:kern w:val="0"/>
          <w:sz w:val="24"/>
          <w:szCs w:val="24"/>
          <w14:ligatures w14:val="none"/>
        </w:rPr>
      </w:pPr>
    </w:p>
    <w:p w14:paraId="3691D3D2" w14:textId="77777777" w:rsidR="001363E3" w:rsidRPr="00620207" w:rsidRDefault="001363E3" w:rsidP="00B74A9A">
      <w:pPr>
        <w:spacing w:after="0" w:line="480" w:lineRule="auto"/>
        <w:rPr>
          <w:rFonts w:ascii="Times New Roman" w:hAnsi="Times New Roman" w:cs="Times New Roman"/>
          <w:sz w:val="24"/>
          <w:szCs w:val="24"/>
          <w:u w:val="single"/>
        </w:rPr>
      </w:pPr>
      <w:r w:rsidRPr="00620207">
        <w:rPr>
          <w:rFonts w:ascii="Times New Roman" w:hAnsi="Times New Roman" w:cs="Times New Roman"/>
          <w:sz w:val="24"/>
          <w:szCs w:val="24"/>
          <w:u w:val="single"/>
        </w:rPr>
        <w:br w:type="page"/>
      </w:r>
    </w:p>
    <w:p w14:paraId="75749B33" w14:textId="77777777" w:rsidR="00A04581" w:rsidRPr="00A04581" w:rsidRDefault="00A04581" w:rsidP="00B74A9A">
      <w:pPr>
        <w:spacing w:after="0" w:line="240" w:lineRule="auto"/>
        <w:jc w:val="center"/>
        <w:rPr>
          <w:rFonts w:ascii="Times New Roman" w:eastAsia="Calibri" w:hAnsi="Times New Roman"/>
          <w:sz w:val="24"/>
          <w:szCs w:val="24"/>
        </w:rPr>
      </w:pPr>
      <w:r w:rsidRPr="00A04581">
        <w:rPr>
          <w:rFonts w:ascii="Times New Roman" w:eastAsia="Calibri" w:hAnsi="Times New Roman"/>
          <w:sz w:val="24"/>
          <w:szCs w:val="24"/>
        </w:rPr>
        <w:t>“GOLDEN RULE” REMARKS HAVE BEEN</w:t>
      </w:r>
    </w:p>
    <w:p w14:paraId="1572FC33" w14:textId="77777777" w:rsidR="00A04581" w:rsidRPr="00A04581" w:rsidRDefault="00A04581" w:rsidP="00B74A9A">
      <w:pPr>
        <w:spacing w:after="0" w:line="240" w:lineRule="auto"/>
        <w:jc w:val="center"/>
        <w:rPr>
          <w:rFonts w:ascii="Times New Roman" w:eastAsia="Calibri" w:hAnsi="Times New Roman"/>
          <w:sz w:val="24"/>
          <w:szCs w:val="24"/>
        </w:rPr>
      </w:pPr>
      <w:r w:rsidRPr="00A04581">
        <w:rPr>
          <w:rFonts w:ascii="Times New Roman" w:eastAsia="Calibri" w:hAnsi="Times New Roman"/>
          <w:sz w:val="24"/>
          <w:szCs w:val="24"/>
          <w:u w:val="single"/>
        </w:rPr>
        <w:t>UNIVERSALLY CONDEMNED AND MUST BE PRECLUDED HERE</w:t>
      </w:r>
    </w:p>
    <w:p w14:paraId="7741EFFD" w14:textId="77777777" w:rsidR="00A04581" w:rsidRPr="00A04581" w:rsidRDefault="00A04581" w:rsidP="00080AE9">
      <w:pPr>
        <w:spacing w:after="0"/>
        <w:jc w:val="both"/>
        <w:rPr>
          <w:rFonts w:ascii="Times New Roman" w:eastAsia="Calibri" w:hAnsi="Times New Roman"/>
          <w:b/>
          <w:bCs/>
          <w:sz w:val="24"/>
          <w:szCs w:val="24"/>
        </w:rPr>
      </w:pPr>
    </w:p>
    <w:p w14:paraId="19F47E57" w14:textId="4D384182" w:rsidR="009918E8" w:rsidRDefault="00A04581" w:rsidP="00080AE9">
      <w:pPr>
        <w:spacing w:after="0" w:line="480" w:lineRule="auto"/>
        <w:jc w:val="both"/>
        <w:rPr>
          <w:rFonts w:ascii="Times New Roman" w:eastAsia="Calibri" w:hAnsi="Times New Roman"/>
          <w:sz w:val="24"/>
          <w:szCs w:val="24"/>
        </w:rPr>
      </w:pPr>
      <w:r w:rsidRPr="00A04581">
        <w:rPr>
          <w:rFonts w:ascii="Times New Roman" w:eastAsia="Calibri" w:hAnsi="Times New Roman"/>
          <w:sz w:val="24"/>
          <w:szCs w:val="24"/>
        </w:rPr>
        <w:tab/>
        <w:t>The “Golden Rule” (a/k/a “bag of gold”) remark is the tactic in which a</w:t>
      </w:r>
      <w:r w:rsidR="00D2582C">
        <w:rPr>
          <w:rFonts w:ascii="Times New Roman" w:eastAsia="Calibri" w:hAnsi="Times New Roman"/>
          <w:sz w:val="24"/>
          <w:szCs w:val="24"/>
        </w:rPr>
        <w:t>n attorney implores a</w:t>
      </w:r>
      <w:r w:rsidR="003D1F79">
        <w:rPr>
          <w:rFonts w:ascii="Times New Roman" w:eastAsia="Calibri" w:hAnsi="Times New Roman"/>
          <w:sz w:val="24"/>
          <w:szCs w:val="24"/>
        </w:rPr>
        <w:t xml:space="preserve"> jury</w:t>
      </w:r>
      <w:r w:rsidRPr="00A04581">
        <w:rPr>
          <w:rFonts w:ascii="Times New Roman" w:eastAsia="Calibri" w:hAnsi="Times New Roman"/>
          <w:sz w:val="24"/>
          <w:szCs w:val="24"/>
        </w:rPr>
        <w:t xml:space="preserve"> (directly or by implication) to put themselves in the plaintiff’s position – to “do unto others” as the jury would have “done unto itself.” </w:t>
      </w:r>
      <w:r w:rsidR="009918E8" w:rsidRPr="00A04581">
        <w:rPr>
          <w:rFonts w:ascii="Times New Roman" w:eastAsia="Calibri" w:hAnsi="Times New Roman"/>
          <w:sz w:val="24"/>
          <w:szCs w:val="24"/>
        </w:rPr>
        <w:t xml:space="preserve">“[T]he jury argument, which some courts outside of New York call the ‘golden rule’ argument, whereby an appeal is made to a juror’s subjective judgment to place himself or herself in the shoes of the litigant in evaluating liability and damages, is also </w:t>
      </w:r>
      <w:proofErr w:type="gramStart"/>
      <w:r w:rsidR="009918E8" w:rsidRPr="00A04581">
        <w:rPr>
          <w:rFonts w:ascii="Times New Roman" w:eastAsia="Calibri" w:hAnsi="Times New Roman"/>
          <w:sz w:val="24"/>
          <w:szCs w:val="24"/>
        </w:rPr>
        <w:t>absolutely improper</w:t>
      </w:r>
      <w:proofErr w:type="gramEnd"/>
      <w:r w:rsidR="009918E8" w:rsidRPr="00A04581">
        <w:rPr>
          <w:rFonts w:ascii="Times New Roman" w:eastAsia="Calibri" w:hAnsi="Times New Roman"/>
          <w:sz w:val="24"/>
          <w:szCs w:val="24"/>
        </w:rPr>
        <w:t xml:space="preserve">. </w:t>
      </w:r>
      <w:proofErr w:type="spellStart"/>
      <w:r w:rsidR="009918E8" w:rsidRPr="00FD7BDB">
        <w:rPr>
          <w:rFonts w:ascii="Times New Roman" w:eastAsia="Calibri" w:hAnsi="Times New Roman"/>
          <w:sz w:val="24"/>
          <w:szCs w:val="24"/>
          <w:u w:val="single"/>
        </w:rPr>
        <w:t>Liosi</w:t>
      </w:r>
      <w:proofErr w:type="spellEnd"/>
      <w:r w:rsidR="009918E8" w:rsidRPr="00FD7BDB">
        <w:rPr>
          <w:rFonts w:ascii="Times New Roman" w:eastAsia="Calibri" w:hAnsi="Times New Roman"/>
          <w:sz w:val="24"/>
          <w:szCs w:val="24"/>
          <w:u w:val="single"/>
        </w:rPr>
        <w:t xml:space="preserve"> v. Vaccaro</w:t>
      </w:r>
      <w:r w:rsidR="009918E8" w:rsidRPr="00A04581">
        <w:rPr>
          <w:rFonts w:ascii="Times New Roman" w:eastAsia="Calibri" w:hAnsi="Times New Roman"/>
          <w:sz w:val="24"/>
          <w:szCs w:val="24"/>
        </w:rPr>
        <w:t>, 35</w:t>
      </w:r>
      <w:r w:rsidR="003D2D55">
        <w:rPr>
          <w:rFonts w:ascii="Times New Roman" w:eastAsia="Calibri" w:hAnsi="Times New Roman"/>
          <w:sz w:val="24"/>
          <w:szCs w:val="24"/>
        </w:rPr>
        <w:t> </w:t>
      </w:r>
      <w:r w:rsidR="009918E8" w:rsidRPr="00A04581">
        <w:rPr>
          <w:rFonts w:ascii="Times New Roman" w:eastAsia="Calibri" w:hAnsi="Times New Roman"/>
          <w:sz w:val="24"/>
          <w:szCs w:val="24"/>
        </w:rPr>
        <w:t xml:space="preserve">A.D.2d 790 (1st </w:t>
      </w:r>
      <w:proofErr w:type="spellStart"/>
      <w:r w:rsidR="009918E8" w:rsidRPr="00A04581">
        <w:rPr>
          <w:rFonts w:ascii="Times New Roman" w:eastAsia="Calibri" w:hAnsi="Times New Roman"/>
          <w:sz w:val="24"/>
          <w:szCs w:val="24"/>
        </w:rPr>
        <w:t>Dep’t</w:t>
      </w:r>
      <w:proofErr w:type="spellEnd"/>
      <w:r w:rsidR="009918E8" w:rsidRPr="00A04581">
        <w:rPr>
          <w:rFonts w:ascii="Times New Roman" w:eastAsia="Calibri" w:hAnsi="Times New Roman"/>
          <w:sz w:val="24"/>
          <w:szCs w:val="24"/>
        </w:rPr>
        <w:t xml:space="preserve"> 1970); </w:t>
      </w:r>
      <w:r w:rsidR="009918E8" w:rsidRPr="00FD7BDB">
        <w:rPr>
          <w:rFonts w:ascii="Times New Roman" w:eastAsia="Calibri" w:hAnsi="Times New Roman"/>
          <w:sz w:val="24"/>
          <w:szCs w:val="24"/>
          <w:u w:val="single"/>
        </w:rPr>
        <w:t xml:space="preserve">Weintraub v. </w:t>
      </w:r>
      <w:proofErr w:type="spellStart"/>
      <w:r w:rsidR="009918E8" w:rsidRPr="00FD7BDB">
        <w:rPr>
          <w:rFonts w:ascii="Times New Roman" w:eastAsia="Calibri" w:hAnsi="Times New Roman"/>
          <w:sz w:val="24"/>
          <w:szCs w:val="24"/>
          <w:u w:val="single"/>
        </w:rPr>
        <w:t>Zabotinsky</w:t>
      </w:r>
      <w:proofErr w:type="spellEnd"/>
      <w:r w:rsidR="009918E8" w:rsidRPr="00A04581">
        <w:rPr>
          <w:rFonts w:ascii="Times New Roman" w:eastAsia="Calibri" w:hAnsi="Times New Roman"/>
          <w:sz w:val="24"/>
          <w:szCs w:val="24"/>
        </w:rPr>
        <w:t>, 19</w:t>
      </w:r>
      <w:r w:rsidR="003D2D55">
        <w:rPr>
          <w:rFonts w:ascii="Times New Roman" w:eastAsia="Calibri" w:hAnsi="Times New Roman"/>
          <w:sz w:val="24"/>
          <w:szCs w:val="24"/>
        </w:rPr>
        <w:t> </w:t>
      </w:r>
      <w:r w:rsidR="009918E8" w:rsidRPr="00A04581">
        <w:rPr>
          <w:rFonts w:ascii="Times New Roman" w:eastAsia="Calibri" w:hAnsi="Times New Roman"/>
          <w:sz w:val="24"/>
          <w:szCs w:val="24"/>
        </w:rPr>
        <w:t>A.D.2d</w:t>
      </w:r>
      <w:r w:rsidR="003D2D55">
        <w:rPr>
          <w:rFonts w:ascii="Times New Roman" w:eastAsia="Calibri" w:hAnsi="Times New Roman"/>
          <w:sz w:val="24"/>
          <w:szCs w:val="24"/>
        </w:rPr>
        <w:t> </w:t>
      </w:r>
      <w:r w:rsidR="009918E8" w:rsidRPr="00A04581">
        <w:rPr>
          <w:rFonts w:ascii="Times New Roman" w:eastAsia="Calibri" w:hAnsi="Times New Roman"/>
          <w:sz w:val="24"/>
          <w:szCs w:val="24"/>
        </w:rPr>
        <w:t xml:space="preserve">906 (2d </w:t>
      </w:r>
      <w:proofErr w:type="spellStart"/>
      <w:r w:rsidR="009918E8" w:rsidRPr="00A04581">
        <w:rPr>
          <w:rFonts w:ascii="Times New Roman" w:eastAsia="Calibri" w:hAnsi="Times New Roman"/>
          <w:sz w:val="24"/>
          <w:szCs w:val="24"/>
        </w:rPr>
        <w:t>Dep’t</w:t>
      </w:r>
      <w:proofErr w:type="spellEnd"/>
      <w:r w:rsidR="009918E8" w:rsidRPr="00A04581">
        <w:rPr>
          <w:rFonts w:ascii="Times New Roman" w:eastAsia="Calibri" w:hAnsi="Times New Roman"/>
          <w:sz w:val="24"/>
          <w:szCs w:val="24"/>
        </w:rPr>
        <w:t xml:space="preserve"> 1963). </w:t>
      </w:r>
      <w:r w:rsidR="00826B1E">
        <w:rPr>
          <w:rFonts w:ascii="Times New Roman" w:eastAsia="Calibri" w:hAnsi="Times New Roman"/>
          <w:sz w:val="24"/>
          <w:szCs w:val="24"/>
        </w:rPr>
        <w:t>Because it</w:t>
      </w:r>
      <w:r w:rsidR="009918E8" w:rsidRPr="00A04581">
        <w:rPr>
          <w:rFonts w:ascii="Times New Roman" w:eastAsia="Calibri" w:hAnsi="Times New Roman"/>
          <w:sz w:val="24"/>
          <w:szCs w:val="24"/>
        </w:rPr>
        <w:t xml:space="preserve"> is an appeal to a juror’s </w:t>
      </w:r>
      <w:r w:rsidR="00250379">
        <w:rPr>
          <w:rFonts w:ascii="Times New Roman" w:eastAsia="Calibri" w:hAnsi="Times New Roman"/>
          <w:sz w:val="24"/>
          <w:szCs w:val="24"/>
        </w:rPr>
        <w:t>personal and therefore self-biased</w:t>
      </w:r>
      <w:r w:rsidR="009918E8" w:rsidRPr="00A04581">
        <w:rPr>
          <w:rFonts w:ascii="Times New Roman" w:eastAsia="Calibri" w:hAnsi="Times New Roman"/>
          <w:sz w:val="24"/>
          <w:szCs w:val="24"/>
        </w:rPr>
        <w:t xml:space="preserve"> judgment, rather than to a</w:t>
      </w:r>
      <w:r w:rsidR="00687CAE">
        <w:rPr>
          <w:rFonts w:ascii="Times New Roman" w:eastAsia="Calibri" w:hAnsi="Times New Roman"/>
          <w:sz w:val="24"/>
          <w:szCs w:val="24"/>
        </w:rPr>
        <w:t xml:space="preserve">n objective and dispassionate </w:t>
      </w:r>
      <w:r w:rsidR="00826B1E">
        <w:rPr>
          <w:rFonts w:ascii="Times New Roman" w:eastAsia="Calibri" w:hAnsi="Times New Roman"/>
          <w:sz w:val="24"/>
          <w:szCs w:val="24"/>
        </w:rPr>
        <w:t>assessment</w:t>
      </w:r>
      <w:r w:rsidR="009918E8" w:rsidRPr="00A04581">
        <w:rPr>
          <w:rFonts w:ascii="Times New Roman" w:eastAsia="Calibri" w:hAnsi="Times New Roman"/>
          <w:sz w:val="24"/>
          <w:szCs w:val="24"/>
        </w:rPr>
        <w:t xml:space="preserve"> o</w:t>
      </w:r>
      <w:r w:rsidR="00687CAE">
        <w:rPr>
          <w:rFonts w:ascii="Times New Roman" w:eastAsia="Calibri" w:hAnsi="Times New Roman"/>
          <w:sz w:val="24"/>
          <w:szCs w:val="24"/>
        </w:rPr>
        <w:t xml:space="preserve">f </w:t>
      </w:r>
      <w:r w:rsidR="009918E8" w:rsidRPr="00A04581">
        <w:rPr>
          <w:rFonts w:ascii="Times New Roman" w:eastAsia="Calibri" w:hAnsi="Times New Roman"/>
          <w:sz w:val="24"/>
          <w:szCs w:val="24"/>
        </w:rPr>
        <w:t>the evidence</w:t>
      </w:r>
      <w:r w:rsidR="00826B1E">
        <w:rPr>
          <w:rFonts w:ascii="Times New Roman" w:eastAsia="Calibri" w:hAnsi="Times New Roman"/>
          <w:sz w:val="24"/>
          <w:szCs w:val="24"/>
        </w:rPr>
        <w:t xml:space="preserve">, it deprives the opposing </w:t>
      </w:r>
      <w:r w:rsidR="009918E8" w:rsidRPr="00A04581">
        <w:rPr>
          <w:rFonts w:ascii="Times New Roman" w:eastAsia="Calibri" w:hAnsi="Times New Roman"/>
          <w:sz w:val="24"/>
          <w:szCs w:val="24"/>
        </w:rPr>
        <w:t>litigant of his to</w:t>
      </w:r>
      <w:r w:rsidR="00826B1E">
        <w:rPr>
          <w:rFonts w:ascii="Times New Roman" w:eastAsia="Calibri" w:hAnsi="Times New Roman"/>
          <w:sz w:val="24"/>
          <w:szCs w:val="24"/>
        </w:rPr>
        <w:t xml:space="preserve"> right to a trial before a</w:t>
      </w:r>
      <w:r w:rsidR="009918E8" w:rsidRPr="00A04581">
        <w:rPr>
          <w:rFonts w:ascii="Times New Roman" w:eastAsia="Calibri" w:hAnsi="Times New Roman"/>
          <w:sz w:val="24"/>
          <w:szCs w:val="24"/>
        </w:rPr>
        <w:t xml:space="preserve"> </w:t>
      </w:r>
      <w:r w:rsidR="00826B1E">
        <w:rPr>
          <w:rFonts w:ascii="Times New Roman" w:eastAsia="Calibri" w:hAnsi="Times New Roman"/>
          <w:sz w:val="24"/>
          <w:szCs w:val="24"/>
        </w:rPr>
        <w:t>“</w:t>
      </w:r>
      <w:r w:rsidR="009918E8" w:rsidRPr="00A04581">
        <w:rPr>
          <w:rFonts w:ascii="Times New Roman" w:eastAsia="Calibri" w:hAnsi="Times New Roman"/>
          <w:sz w:val="24"/>
          <w:szCs w:val="24"/>
        </w:rPr>
        <w:t>neutral and impartial jury.” 3 New York Practice Guide: Negligence § 22.04 (2025).</w:t>
      </w:r>
    </w:p>
    <w:p w14:paraId="30B6C880" w14:textId="2F8D3CA9" w:rsidR="007C4DA5" w:rsidRDefault="00661A4F" w:rsidP="00FD7BDB">
      <w:pPr>
        <w:spacing w:after="0" w:line="48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An impartial jury requires </w:t>
      </w:r>
      <w:r w:rsidR="001556E5">
        <w:rPr>
          <w:rFonts w:ascii="Times New Roman" w:eastAsia="Calibri" w:hAnsi="Times New Roman"/>
          <w:sz w:val="24"/>
          <w:szCs w:val="24"/>
        </w:rPr>
        <w:t>people who are</w:t>
      </w:r>
      <w:r>
        <w:rPr>
          <w:rFonts w:ascii="Times New Roman" w:eastAsia="Calibri" w:hAnsi="Times New Roman"/>
          <w:sz w:val="24"/>
          <w:szCs w:val="24"/>
        </w:rPr>
        <w:t xml:space="preserve"> both (1)</w:t>
      </w:r>
      <w:r w:rsidR="001556E5">
        <w:rPr>
          <w:rFonts w:ascii="Times New Roman" w:eastAsia="Calibri" w:hAnsi="Times New Roman"/>
          <w:sz w:val="24"/>
          <w:szCs w:val="24"/>
        </w:rPr>
        <w:t xml:space="preserve"> not the parties and </w:t>
      </w:r>
      <w:r w:rsidR="00BF17E7">
        <w:rPr>
          <w:rFonts w:ascii="Times New Roman" w:eastAsia="Calibri" w:hAnsi="Times New Roman"/>
          <w:sz w:val="24"/>
          <w:szCs w:val="24"/>
        </w:rPr>
        <w:t xml:space="preserve">(2) </w:t>
      </w:r>
      <w:r w:rsidR="001556E5">
        <w:rPr>
          <w:rFonts w:ascii="Times New Roman" w:eastAsia="Calibri" w:hAnsi="Times New Roman"/>
          <w:sz w:val="24"/>
          <w:szCs w:val="24"/>
        </w:rPr>
        <w:t xml:space="preserve">not </w:t>
      </w:r>
      <w:r w:rsidR="00C70A98">
        <w:rPr>
          <w:rFonts w:ascii="Times New Roman" w:eastAsia="Calibri" w:hAnsi="Times New Roman"/>
          <w:sz w:val="24"/>
          <w:szCs w:val="24"/>
        </w:rPr>
        <w:t>materially</w:t>
      </w:r>
      <w:r w:rsidR="001556E5">
        <w:rPr>
          <w:rFonts w:ascii="Times New Roman" w:eastAsia="Calibri" w:hAnsi="Times New Roman"/>
          <w:sz w:val="24"/>
          <w:szCs w:val="24"/>
        </w:rPr>
        <w:t xml:space="preserve"> </w:t>
      </w:r>
      <w:proofErr w:type="gramStart"/>
      <w:r w:rsidR="001556E5">
        <w:rPr>
          <w:rFonts w:ascii="Times New Roman" w:eastAsia="Calibri" w:hAnsi="Times New Roman"/>
          <w:sz w:val="24"/>
          <w:szCs w:val="24"/>
        </w:rPr>
        <w:t>similar to</w:t>
      </w:r>
      <w:proofErr w:type="gramEnd"/>
      <w:r w:rsidR="001556E5">
        <w:rPr>
          <w:rFonts w:ascii="Times New Roman" w:eastAsia="Calibri" w:hAnsi="Times New Roman"/>
          <w:sz w:val="24"/>
          <w:szCs w:val="24"/>
        </w:rPr>
        <w:t xml:space="preserve"> them. </w:t>
      </w:r>
      <w:r w:rsidR="001556E5">
        <w:rPr>
          <w:rFonts w:ascii="Times New Roman" w:eastAsia="Calibri" w:hAnsi="Times New Roman"/>
          <w:sz w:val="24"/>
          <w:szCs w:val="24"/>
          <w:u w:val="single"/>
        </w:rPr>
        <w:t>See</w:t>
      </w:r>
      <w:r w:rsidR="001556E5" w:rsidRPr="001815C3">
        <w:rPr>
          <w:rFonts w:ascii="Times New Roman" w:eastAsia="Calibri" w:hAnsi="Times New Roman"/>
          <w:sz w:val="24"/>
          <w:szCs w:val="24"/>
          <w:u w:val="single"/>
        </w:rPr>
        <w:t>, e</w:t>
      </w:r>
      <w:r w:rsidR="001556E5">
        <w:rPr>
          <w:rFonts w:ascii="Times New Roman" w:eastAsia="Calibri" w:hAnsi="Times New Roman"/>
          <w:sz w:val="24"/>
          <w:szCs w:val="24"/>
          <w:u w:val="single"/>
        </w:rPr>
        <w:t>.g.</w:t>
      </w:r>
      <w:r w:rsidR="001556E5">
        <w:rPr>
          <w:rFonts w:ascii="Times New Roman" w:eastAsia="Calibri" w:hAnsi="Times New Roman"/>
          <w:sz w:val="24"/>
          <w:szCs w:val="24"/>
        </w:rPr>
        <w:t xml:space="preserve">, </w:t>
      </w:r>
      <w:r w:rsidR="001556E5" w:rsidRPr="00FD7BDB">
        <w:rPr>
          <w:rFonts w:ascii="Times New Roman" w:eastAsia="Calibri" w:hAnsi="Times New Roman"/>
          <w:sz w:val="24"/>
          <w:szCs w:val="24"/>
          <w:u w:val="single"/>
        </w:rPr>
        <w:t>People v. Light</w:t>
      </w:r>
      <w:r w:rsidR="001556E5" w:rsidRPr="001556E5">
        <w:rPr>
          <w:rFonts w:ascii="Times New Roman" w:eastAsia="Calibri" w:hAnsi="Times New Roman"/>
          <w:sz w:val="24"/>
          <w:szCs w:val="24"/>
        </w:rPr>
        <w:t>, 260 A.D.2d 404, 405</w:t>
      </w:r>
      <w:r w:rsidR="001556E5">
        <w:rPr>
          <w:rFonts w:ascii="Times New Roman" w:eastAsia="Calibri" w:hAnsi="Times New Roman"/>
          <w:sz w:val="24"/>
          <w:szCs w:val="24"/>
        </w:rPr>
        <w:t xml:space="preserve"> (2d </w:t>
      </w:r>
      <w:proofErr w:type="spellStart"/>
      <w:r w:rsidR="001556E5">
        <w:rPr>
          <w:rFonts w:ascii="Times New Roman" w:eastAsia="Calibri" w:hAnsi="Times New Roman"/>
          <w:sz w:val="24"/>
          <w:szCs w:val="24"/>
        </w:rPr>
        <w:t>Dep</w:t>
      </w:r>
      <w:r w:rsidR="00BF17E7">
        <w:rPr>
          <w:rFonts w:ascii="Times New Roman" w:eastAsia="Calibri" w:hAnsi="Times New Roman"/>
          <w:sz w:val="24"/>
          <w:szCs w:val="24"/>
        </w:rPr>
        <w:t>’t</w:t>
      </w:r>
      <w:proofErr w:type="spellEnd"/>
      <w:r w:rsidR="001556E5">
        <w:rPr>
          <w:rFonts w:ascii="Times New Roman" w:eastAsia="Calibri" w:hAnsi="Times New Roman"/>
          <w:sz w:val="24"/>
          <w:szCs w:val="24"/>
        </w:rPr>
        <w:t xml:space="preserve"> 1999) (juror dismissed for cause over “</w:t>
      </w:r>
      <w:r w:rsidR="001556E5" w:rsidRPr="001556E5">
        <w:rPr>
          <w:rFonts w:ascii="Times New Roman" w:eastAsia="Calibri" w:hAnsi="Times New Roman"/>
          <w:sz w:val="24"/>
          <w:szCs w:val="24"/>
        </w:rPr>
        <w:t>recent experiences with crimes similar to the crimes charged</w:t>
      </w:r>
      <w:r w:rsidR="001556E5">
        <w:rPr>
          <w:rFonts w:ascii="Times New Roman" w:eastAsia="Calibri" w:hAnsi="Times New Roman"/>
          <w:sz w:val="24"/>
          <w:szCs w:val="24"/>
        </w:rPr>
        <w:t xml:space="preserve">”); </w:t>
      </w:r>
      <w:r w:rsidR="001556E5" w:rsidRPr="00FD7BDB">
        <w:rPr>
          <w:rFonts w:ascii="Times New Roman" w:eastAsia="Calibri" w:hAnsi="Times New Roman"/>
          <w:sz w:val="24"/>
          <w:szCs w:val="24"/>
          <w:u w:val="single"/>
        </w:rPr>
        <w:t>People v. Walton</w:t>
      </w:r>
      <w:r w:rsidR="001556E5" w:rsidRPr="001556E5">
        <w:rPr>
          <w:rFonts w:ascii="Times New Roman" w:eastAsia="Calibri" w:hAnsi="Times New Roman"/>
          <w:sz w:val="24"/>
          <w:szCs w:val="24"/>
        </w:rPr>
        <w:t>, 220 A.D.2d 286, 286</w:t>
      </w:r>
      <w:r w:rsidR="001556E5">
        <w:rPr>
          <w:rFonts w:ascii="Times New Roman" w:eastAsia="Calibri" w:hAnsi="Times New Roman"/>
          <w:sz w:val="24"/>
          <w:szCs w:val="24"/>
        </w:rPr>
        <w:t xml:space="preserve"> (1st </w:t>
      </w:r>
      <w:proofErr w:type="spellStart"/>
      <w:r w:rsidR="001556E5">
        <w:rPr>
          <w:rFonts w:ascii="Times New Roman" w:eastAsia="Calibri" w:hAnsi="Times New Roman"/>
          <w:sz w:val="24"/>
          <w:szCs w:val="24"/>
        </w:rPr>
        <w:t>Dep</w:t>
      </w:r>
      <w:r w:rsidR="00E47F9B">
        <w:rPr>
          <w:rFonts w:ascii="Times New Roman" w:eastAsia="Calibri" w:hAnsi="Times New Roman"/>
          <w:sz w:val="24"/>
          <w:szCs w:val="24"/>
        </w:rPr>
        <w:t>’t</w:t>
      </w:r>
      <w:proofErr w:type="spellEnd"/>
      <w:r w:rsidR="001556E5">
        <w:rPr>
          <w:rFonts w:ascii="Times New Roman" w:eastAsia="Calibri" w:hAnsi="Times New Roman"/>
          <w:sz w:val="24"/>
          <w:szCs w:val="24"/>
        </w:rPr>
        <w:t xml:space="preserve"> 1995) (same).</w:t>
      </w:r>
      <w:r w:rsidR="009A7D60">
        <w:rPr>
          <w:rFonts w:ascii="Times New Roman" w:eastAsia="Calibri" w:hAnsi="Times New Roman"/>
          <w:sz w:val="24"/>
          <w:szCs w:val="24"/>
        </w:rPr>
        <w:t xml:space="preserve"> </w:t>
      </w:r>
      <w:r w:rsidR="004A24DE">
        <w:rPr>
          <w:rFonts w:ascii="Times New Roman" w:eastAsia="Calibri" w:hAnsi="Times New Roman"/>
          <w:sz w:val="24"/>
          <w:szCs w:val="24"/>
        </w:rPr>
        <w:t xml:space="preserve">But </w:t>
      </w:r>
      <w:proofErr w:type="gramStart"/>
      <w:r w:rsidR="004A24DE">
        <w:rPr>
          <w:rFonts w:ascii="Times New Roman" w:eastAsia="Calibri" w:hAnsi="Times New Roman"/>
          <w:sz w:val="24"/>
          <w:szCs w:val="24"/>
        </w:rPr>
        <w:t>Golden</w:t>
      </w:r>
      <w:proofErr w:type="gramEnd"/>
      <w:r w:rsidR="004A24DE">
        <w:rPr>
          <w:rFonts w:ascii="Times New Roman" w:eastAsia="Calibri" w:hAnsi="Times New Roman"/>
          <w:sz w:val="24"/>
          <w:szCs w:val="24"/>
        </w:rPr>
        <w:t xml:space="preserve"> Rule remarks </w:t>
      </w:r>
      <w:r w:rsidR="001815C3">
        <w:rPr>
          <w:rFonts w:ascii="Times New Roman" w:eastAsia="Calibri" w:hAnsi="Times New Roman"/>
          <w:sz w:val="24"/>
          <w:szCs w:val="24"/>
        </w:rPr>
        <w:t>invite the jury to imagine themselves as a party</w:t>
      </w:r>
      <w:r w:rsidR="00055D69">
        <w:rPr>
          <w:rFonts w:ascii="Times New Roman" w:eastAsia="Calibri" w:hAnsi="Times New Roman"/>
          <w:sz w:val="24"/>
          <w:szCs w:val="24"/>
        </w:rPr>
        <w:t xml:space="preserve"> and, accordingly, to di</w:t>
      </w:r>
      <w:r w:rsidR="003034B6">
        <w:rPr>
          <w:rFonts w:ascii="Times New Roman" w:eastAsia="Calibri" w:hAnsi="Times New Roman"/>
          <w:sz w:val="24"/>
          <w:szCs w:val="24"/>
        </w:rPr>
        <w:t>scard</w:t>
      </w:r>
      <w:r w:rsidR="00055D69">
        <w:rPr>
          <w:rFonts w:ascii="Times New Roman" w:eastAsia="Calibri" w:hAnsi="Times New Roman"/>
          <w:sz w:val="24"/>
          <w:szCs w:val="24"/>
        </w:rPr>
        <w:t xml:space="preserve"> their impartiality</w:t>
      </w:r>
      <w:r w:rsidR="00BC5305">
        <w:rPr>
          <w:rFonts w:ascii="Times New Roman" w:eastAsia="Calibri" w:hAnsi="Times New Roman"/>
          <w:sz w:val="24"/>
          <w:szCs w:val="24"/>
        </w:rPr>
        <w:t>. The law prohibits any party from doing “</w:t>
      </w:r>
      <w:r w:rsidR="00BC5305" w:rsidRPr="00BC5305">
        <w:rPr>
          <w:rFonts w:ascii="Times New Roman" w:eastAsia="Calibri" w:hAnsi="Times New Roman"/>
          <w:sz w:val="24"/>
          <w:szCs w:val="24"/>
        </w:rPr>
        <w:t>indirectly what they cannot do directly</w:t>
      </w:r>
      <w:r w:rsidR="00BC5305">
        <w:rPr>
          <w:rFonts w:ascii="Times New Roman" w:eastAsia="Calibri" w:hAnsi="Times New Roman"/>
          <w:sz w:val="24"/>
          <w:szCs w:val="24"/>
        </w:rPr>
        <w:t xml:space="preserve">[.]” </w:t>
      </w:r>
      <w:r w:rsidR="00BC5305" w:rsidRPr="00B4308C">
        <w:rPr>
          <w:rFonts w:ascii="Times New Roman" w:eastAsia="Calibri" w:hAnsi="Times New Roman"/>
          <w:sz w:val="24"/>
          <w:szCs w:val="24"/>
          <w:u w:val="single"/>
        </w:rPr>
        <w:t>People v. Carmona</w:t>
      </w:r>
      <w:r w:rsidR="00BC5305" w:rsidRPr="00BC5305">
        <w:rPr>
          <w:rFonts w:ascii="Times New Roman" w:eastAsia="Calibri" w:hAnsi="Times New Roman"/>
          <w:sz w:val="24"/>
          <w:szCs w:val="24"/>
        </w:rPr>
        <w:t>, 82 N.Y.2d 603, 612</w:t>
      </w:r>
      <w:r w:rsidR="00BC5305">
        <w:rPr>
          <w:rFonts w:ascii="Times New Roman" w:eastAsia="Calibri" w:hAnsi="Times New Roman"/>
          <w:sz w:val="24"/>
          <w:szCs w:val="24"/>
        </w:rPr>
        <w:t xml:space="preserve"> (1993); </w:t>
      </w:r>
      <w:r w:rsidR="00BC5305">
        <w:rPr>
          <w:rFonts w:ascii="Times New Roman" w:eastAsia="Calibri" w:hAnsi="Times New Roman"/>
          <w:sz w:val="24"/>
          <w:szCs w:val="24"/>
          <w:u w:val="single"/>
        </w:rPr>
        <w:t>see</w:t>
      </w:r>
      <w:r w:rsidR="00BC5305">
        <w:rPr>
          <w:rFonts w:ascii="Times New Roman" w:eastAsia="Calibri" w:hAnsi="Times New Roman"/>
          <w:sz w:val="24"/>
          <w:szCs w:val="24"/>
        </w:rPr>
        <w:t xml:space="preserve"> </w:t>
      </w:r>
      <w:r w:rsidR="00BC5305" w:rsidRPr="00B4308C">
        <w:rPr>
          <w:rFonts w:ascii="Times New Roman" w:eastAsia="Calibri" w:hAnsi="Times New Roman"/>
          <w:sz w:val="24"/>
          <w:szCs w:val="24"/>
          <w:u w:val="single"/>
        </w:rPr>
        <w:t>Keystone Associates v. Moerdler</w:t>
      </w:r>
      <w:r w:rsidR="00BC5305" w:rsidRPr="00BC5305">
        <w:rPr>
          <w:rFonts w:ascii="Times New Roman" w:eastAsia="Calibri" w:hAnsi="Times New Roman"/>
          <w:sz w:val="24"/>
          <w:szCs w:val="24"/>
        </w:rPr>
        <w:t>, 19 N.Y.2d 78, 88</w:t>
      </w:r>
      <w:r w:rsidR="00BC5305">
        <w:rPr>
          <w:rFonts w:ascii="Times New Roman" w:eastAsia="Calibri" w:hAnsi="Times New Roman"/>
          <w:sz w:val="24"/>
          <w:szCs w:val="24"/>
        </w:rPr>
        <w:t xml:space="preserve"> (1966) (same); </w:t>
      </w:r>
      <w:r w:rsidR="00BC5305" w:rsidRPr="00B4308C">
        <w:rPr>
          <w:rFonts w:ascii="Times New Roman" w:eastAsia="Calibri" w:hAnsi="Times New Roman"/>
          <w:sz w:val="24"/>
          <w:szCs w:val="24"/>
          <w:u w:val="single"/>
        </w:rPr>
        <w:t>Capotosto v. City of New York</w:t>
      </w:r>
      <w:r w:rsidR="00BC5305" w:rsidRPr="00BC5305">
        <w:rPr>
          <w:rFonts w:ascii="Times New Roman" w:eastAsia="Calibri" w:hAnsi="Times New Roman"/>
          <w:sz w:val="24"/>
          <w:szCs w:val="24"/>
        </w:rPr>
        <w:t>, 288 A.D.2d 419, 420</w:t>
      </w:r>
      <w:r w:rsidR="00BC5305">
        <w:rPr>
          <w:rFonts w:ascii="Times New Roman" w:eastAsia="Calibri" w:hAnsi="Times New Roman"/>
          <w:sz w:val="24"/>
          <w:szCs w:val="24"/>
        </w:rPr>
        <w:t xml:space="preserve"> (2d Dept. 2001) (same); </w:t>
      </w:r>
      <w:r w:rsidR="00BC5305" w:rsidRPr="00B4308C">
        <w:rPr>
          <w:rFonts w:ascii="Times New Roman" w:eastAsia="Calibri" w:hAnsi="Times New Roman"/>
          <w:sz w:val="24"/>
          <w:szCs w:val="24"/>
          <w:u w:val="single"/>
        </w:rPr>
        <w:t>Vargas v. American Export Lines, Inc.</w:t>
      </w:r>
      <w:r w:rsidR="00BC5305" w:rsidRPr="00BC5305">
        <w:rPr>
          <w:rFonts w:ascii="Times New Roman" w:eastAsia="Calibri" w:hAnsi="Times New Roman"/>
          <w:sz w:val="24"/>
          <w:szCs w:val="24"/>
        </w:rPr>
        <w:t>, 107 A.D.2d 349, 355</w:t>
      </w:r>
      <w:r w:rsidR="00BC5305">
        <w:rPr>
          <w:rFonts w:ascii="Times New Roman" w:eastAsia="Calibri" w:hAnsi="Times New Roman"/>
          <w:sz w:val="24"/>
          <w:szCs w:val="24"/>
        </w:rPr>
        <w:t xml:space="preserve"> (1st</w:t>
      </w:r>
      <w:r w:rsidR="003D2D55">
        <w:rPr>
          <w:rFonts w:ascii="Times New Roman" w:eastAsia="Calibri" w:hAnsi="Times New Roman"/>
          <w:sz w:val="24"/>
          <w:szCs w:val="24"/>
        </w:rPr>
        <w:t> </w:t>
      </w:r>
      <w:proofErr w:type="spellStart"/>
      <w:r w:rsidR="00BC5305">
        <w:rPr>
          <w:rFonts w:ascii="Times New Roman" w:eastAsia="Calibri" w:hAnsi="Times New Roman"/>
          <w:sz w:val="24"/>
          <w:szCs w:val="24"/>
        </w:rPr>
        <w:t>Dep</w:t>
      </w:r>
      <w:r w:rsidR="00642825">
        <w:rPr>
          <w:rFonts w:ascii="Times New Roman" w:eastAsia="Calibri" w:hAnsi="Times New Roman"/>
          <w:sz w:val="24"/>
          <w:szCs w:val="24"/>
        </w:rPr>
        <w:t>’t</w:t>
      </w:r>
      <w:proofErr w:type="spellEnd"/>
      <w:r w:rsidR="003034B6">
        <w:rPr>
          <w:rFonts w:ascii="Times New Roman" w:eastAsia="Calibri" w:hAnsi="Times New Roman"/>
          <w:sz w:val="24"/>
          <w:szCs w:val="24"/>
        </w:rPr>
        <w:t xml:space="preserve"> </w:t>
      </w:r>
      <w:r w:rsidR="00BC5305">
        <w:rPr>
          <w:rFonts w:ascii="Times New Roman" w:eastAsia="Calibri" w:hAnsi="Times New Roman"/>
          <w:sz w:val="24"/>
          <w:szCs w:val="24"/>
        </w:rPr>
        <w:t xml:space="preserve">1985) (same). </w:t>
      </w:r>
      <w:r w:rsidR="002E1A9C">
        <w:rPr>
          <w:rFonts w:ascii="Times New Roman" w:eastAsia="Calibri" w:hAnsi="Times New Roman"/>
          <w:sz w:val="24"/>
          <w:szCs w:val="24"/>
        </w:rPr>
        <w:t xml:space="preserve">If </w:t>
      </w:r>
      <w:r w:rsidR="0068749A">
        <w:rPr>
          <w:rFonts w:ascii="Times New Roman" w:eastAsia="Calibri" w:hAnsi="Times New Roman"/>
          <w:sz w:val="24"/>
          <w:szCs w:val="24"/>
        </w:rPr>
        <w:t>permitting</w:t>
      </w:r>
      <w:r w:rsidR="00705A45">
        <w:rPr>
          <w:rFonts w:ascii="Times New Roman" w:eastAsia="Calibri" w:hAnsi="Times New Roman"/>
          <w:sz w:val="24"/>
          <w:szCs w:val="24"/>
        </w:rPr>
        <w:t xml:space="preserve"> </w:t>
      </w:r>
      <w:r w:rsidR="00743D6F">
        <w:rPr>
          <w:rFonts w:ascii="Times New Roman" w:eastAsia="Calibri" w:hAnsi="Times New Roman"/>
          <w:sz w:val="24"/>
          <w:szCs w:val="24"/>
        </w:rPr>
        <w:t xml:space="preserve">a corporate officer </w:t>
      </w:r>
      <w:r w:rsidR="0068749A">
        <w:rPr>
          <w:rFonts w:ascii="Times New Roman" w:eastAsia="Calibri" w:hAnsi="Times New Roman"/>
          <w:sz w:val="24"/>
          <w:szCs w:val="24"/>
        </w:rPr>
        <w:t xml:space="preserve">to serve on the jury of </w:t>
      </w:r>
      <w:r w:rsidR="00FE5AAB">
        <w:rPr>
          <w:rFonts w:ascii="Times New Roman" w:eastAsia="Calibri" w:hAnsi="Times New Roman"/>
          <w:sz w:val="24"/>
          <w:szCs w:val="24"/>
        </w:rPr>
        <w:t>his company’s trial is</w:t>
      </w:r>
      <w:r w:rsidR="00C720F4">
        <w:rPr>
          <w:rFonts w:ascii="Times New Roman" w:eastAsia="Calibri" w:hAnsi="Times New Roman"/>
          <w:sz w:val="24"/>
          <w:szCs w:val="24"/>
        </w:rPr>
        <w:t xml:space="preserve"> improper</w:t>
      </w:r>
      <w:r w:rsidR="002E1A9C">
        <w:rPr>
          <w:rFonts w:ascii="Times New Roman" w:eastAsia="Calibri" w:hAnsi="Times New Roman"/>
          <w:sz w:val="24"/>
          <w:szCs w:val="24"/>
        </w:rPr>
        <w:t>, so is</w:t>
      </w:r>
      <w:r w:rsidR="00C720F4">
        <w:rPr>
          <w:rFonts w:ascii="Times New Roman" w:eastAsia="Calibri" w:hAnsi="Times New Roman"/>
          <w:sz w:val="24"/>
          <w:szCs w:val="24"/>
        </w:rPr>
        <w:t xml:space="preserve"> urging a</w:t>
      </w:r>
      <w:r w:rsidR="004F5D50">
        <w:rPr>
          <w:rFonts w:ascii="Times New Roman" w:eastAsia="Calibri" w:hAnsi="Times New Roman"/>
          <w:sz w:val="24"/>
          <w:szCs w:val="24"/>
        </w:rPr>
        <w:t>n uninvolved</w:t>
      </w:r>
      <w:r w:rsidR="00C720F4">
        <w:rPr>
          <w:rFonts w:ascii="Times New Roman" w:eastAsia="Calibri" w:hAnsi="Times New Roman"/>
          <w:sz w:val="24"/>
          <w:szCs w:val="24"/>
        </w:rPr>
        <w:t xml:space="preserve"> juror to imagine he </w:t>
      </w:r>
      <w:r w:rsidR="005946BF">
        <w:rPr>
          <w:rFonts w:ascii="Times New Roman" w:eastAsia="Calibri" w:hAnsi="Times New Roman"/>
          <w:sz w:val="24"/>
          <w:szCs w:val="24"/>
        </w:rPr>
        <w:t>is</w:t>
      </w:r>
      <w:r w:rsidR="00C720F4">
        <w:rPr>
          <w:rFonts w:ascii="Times New Roman" w:eastAsia="Calibri" w:hAnsi="Times New Roman"/>
          <w:sz w:val="24"/>
          <w:szCs w:val="24"/>
        </w:rPr>
        <w:t xml:space="preserve"> its </w:t>
      </w:r>
      <w:r w:rsidR="00A94901">
        <w:rPr>
          <w:rFonts w:ascii="Times New Roman" w:eastAsia="Calibri" w:hAnsi="Times New Roman"/>
          <w:sz w:val="24"/>
          <w:szCs w:val="24"/>
        </w:rPr>
        <w:t xml:space="preserve">president. </w:t>
      </w:r>
    </w:p>
    <w:p w14:paraId="2BA67D51" w14:textId="7934AFF3" w:rsidR="00A04581" w:rsidRPr="00A04581" w:rsidRDefault="000A4726" w:rsidP="000A4726">
      <w:pPr>
        <w:spacing w:after="0" w:line="480" w:lineRule="auto"/>
        <w:ind w:firstLine="720"/>
        <w:jc w:val="both"/>
        <w:rPr>
          <w:rFonts w:ascii="Times New Roman" w:eastAsia="Calibri" w:hAnsi="Times New Roman"/>
          <w:sz w:val="24"/>
          <w:szCs w:val="24"/>
        </w:rPr>
      </w:pPr>
      <w:r>
        <w:rPr>
          <w:rFonts w:ascii="Times New Roman" w:eastAsia="Calibri" w:hAnsi="Times New Roman"/>
          <w:sz w:val="24"/>
          <w:szCs w:val="24"/>
        </w:rPr>
        <w:t>Because Golden Rule implorations trigger a juror’s instinct to place himself in plaintiff’s shoes and, consequently, to award himself a maximalist sum</w:t>
      </w:r>
      <w:r w:rsidR="006A30EF">
        <w:rPr>
          <w:rStyle w:val="FootnoteReference"/>
          <w:rFonts w:ascii="Times New Roman" w:eastAsia="Calibri" w:hAnsi="Times New Roman"/>
          <w:sz w:val="24"/>
          <w:szCs w:val="24"/>
        </w:rPr>
        <w:footnoteReference w:id="1"/>
      </w:r>
      <w:r>
        <w:rPr>
          <w:rFonts w:ascii="Times New Roman" w:eastAsia="Calibri" w:hAnsi="Times New Roman"/>
          <w:sz w:val="24"/>
          <w:szCs w:val="24"/>
        </w:rPr>
        <w:t>,</w:t>
      </w:r>
      <w:bookmarkStart w:id="0" w:name="_Hlk89338469"/>
      <w:r>
        <w:rPr>
          <w:rFonts w:ascii="Times New Roman" w:eastAsia="Calibri" w:hAnsi="Times New Roman"/>
          <w:sz w:val="24"/>
          <w:szCs w:val="24"/>
        </w:rPr>
        <w:t xml:space="preserve"> it</w:t>
      </w:r>
      <w:r w:rsidR="00A04581" w:rsidRPr="00A04581">
        <w:rPr>
          <w:rFonts w:ascii="Times New Roman" w:eastAsia="Calibri" w:hAnsi="Times New Roman"/>
          <w:sz w:val="24"/>
          <w:szCs w:val="24"/>
        </w:rPr>
        <w:t xml:space="preserve"> is known as the paradigmatic improper tactic in assessing compensatory damages. </w:t>
      </w:r>
      <w:r w:rsidR="00A04581" w:rsidRPr="00A04581">
        <w:rPr>
          <w:rFonts w:ascii="Times New Roman" w:eastAsia="Calibri" w:hAnsi="Times New Roman"/>
          <w:sz w:val="24"/>
          <w:szCs w:val="24"/>
          <w:u w:val="single"/>
        </w:rPr>
        <w:t>See</w:t>
      </w:r>
      <w:r w:rsidR="00A04581" w:rsidRPr="00A04581">
        <w:rPr>
          <w:rFonts w:ascii="Times New Roman" w:eastAsia="Calibri" w:hAnsi="Times New Roman"/>
          <w:sz w:val="24"/>
          <w:szCs w:val="24"/>
        </w:rPr>
        <w:t xml:space="preserve"> </w:t>
      </w:r>
      <w:proofErr w:type="spellStart"/>
      <w:r w:rsidR="00A04581" w:rsidRPr="00A04581">
        <w:rPr>
          <w:rFonts w:ascii="Times New Roman" w:eastAsia="Calibri" w:hAnsi="Times New Roman"/>
          <w:sz w:val="24"/>
          <w:szCs w:val="24"/>
          <w:u w:val="single"/>
        </w:rPr>
        <w:t>Boshnakov</w:t>
      </w:r>
      <w:proofErr w:type="spellEnd"/>
      <w:r w:rsidR="00A04581" w:rsidRPr="00A04581">
        <w:rPr>
          <w:rFonts w:ascii="Times New Roman" w:eastAsia="Calibri" w:hAnsi="Times New Roman"/>
          <w:sz w:val="24"/>
          <w:szCs w:val="24"/>
          <w:u w:val="single"/>
        </w:rPr>
        <w:t xml:space="preserve"> v. Bd. of Educ. of Town of Eden</w:t>
      </w:r>
      <w:r w:rsidR="00A04581" w:rsidRPr="00A04581">
        <w:rPr>
          <w:rFonts w:ascii="Times New Roman" w:eastAsia="Calibri" w:hAnsi="Times New Roman"/>
          <w:sz w:val="24"/>
          <w:szCs w:val="24"/>
        </w:rPr>
        <w:t xml:space="preserve">, 277 A.D.2d 996 (4th </w:t>
      </w:r>
      <w:proofErr w:type="spellStart"/>
      <w:r w:rsidR="00A04581" w:rsidRPr="00A04581">
        <w:rPr>
          <w:rFonts w:ascii="Times New Roman" w:eastAsia="Calibri" w:hAnsi="Times New Roman"/>
          <w:sz w:val="24"/>
          <w:szCs w:val="24"/>
        </w:rPr>
        <w:t>Dep’t</w:t>
      </w:r>
      <w:proofErr w:type="spellEnd"/>
      <w:r w:rsidR="00A04581" w:rsidRPr="00A04581">
        <w:rPr>
          <w:rFonts w:ascii="Times New Roman" w:eastAsia="Calibri" w:hAnsi="Times New Roman"/>
          <w:sz w:val="24"/>
          <w:szCs w:val="24"/>
        </w:rPr>
        <w:t xml:space="preserve"> 2000).</w:t>
      </w:r>
      <w:bookmarkEnd w:id="0"/>
      <w:r w:rsidR="00A04581" w:rsidRPr="00A04581">
        <w:rPr>
          <w:rStyle w:val="FootnoteReference"/>
          <w:rFonts w:ascii="Times New Roman" w:eastAsia="Calibri" w:hAnsi="Times New Roman"/>
          <w:sz w:val="24"/>
          <w:szCs w:val="24"/>
        </w:rPr>
        <w:footnoteReference w:id="2"/>
      </w:r>
      <w:r w:rsidR="00A04581" w:rsidRPr="00A04581">
        <w:rPr>
          <w:rFonts w:ascii="Times New Roman" w:eastAsia="Calibri" w:hAnsi="Times New Roman"/>
          <w:sz w:val="24"/>
          <w:szCs w:val="24"/>
        </w:rPr>
        <w:t xml:space="preserve"> Golden Rule arguments have been “universally condemned”</w:t>
      </w:r>
      <w:r w:rsidR="00A04581" w:rsidRPr="00A04581">
        <w:rPr>
          <w:rStyle w:val="FootnoteReference"/>
          <w:rFonts w:ascii="Times New Roman" w:eastAsia="Calibri" w:hAnsi="Times New Roman"/>
          <w:sz w:val="24"/>
          <w:szCs w:val="24"/>
        </w:rPr>
        <w:footnoteReference w:id="3"/>
      </w:r>
      <w:r w:rsidR="00A04581" w:rsidRPr="00A04581">
        <w:rPr>
          <w:rFonts w:ascii="Times New Roman" w:eastAsia="Calibri" w:hAnsi="Times New Roman"/>
          <w:sz w:val="24"/>
          <w:szCs w:val="24"/>
        </w:rPr>
        <w:t xml:space="preserve"> because they “encourage[] the jury to depart from neutrality and decide the case on the basis of personal interest and bias rather than on the evidence.” </w:t>
      </w:r>
      <w:r w:rsidR="00A04581" w:rsidRPr="00A04581">
        <w:rPr>
          <w:rFonts w:ascii="Times New Roman" w:eastAsia="Calibri" w:hAnsi="Times New Roman"/>
          <w:sz w:val="24"/>
          <w:szCs w:val="24"/>
          <w:u w:val="single"/>
        </w:rPr>
        <w:t xml:space="preserve">Forrestal v. </w:t>
      </w:r>
      <w:proofErr w:type="spellStart"/>
      <w:r w:rsidR="00A04581" w:rsidRPr="00A04581">
        <w:rPr>
          <w:rFonts w:ascii="Times New Roman" w:eastAsia="Calibri" w:hAnsi="Times New Roman"/>
          <w:sz w:val="24"/>
          <w:szCs w:val="24"/>
          <w:u w:val="single"/>
        </w:rPr>
        <w:t>Magendantz</w:t>
      </w:r>
      <w:proofErr w:type="spellEnd"/>
      <w:r w:rsidR="00A04581" w:rsidRPr="00A04581">
        <w:rPr>
          <w:rFonts w:ascii="Times New Roman" w:eastAsia="Calibri" w:hAnsi="Times New Roman"/>
          <w:sz w:val="24"/>
          <w:szCs w:val="24"/>
        </w:rPr>
        <w:t xml:space="preserve">, 848 F.2d 303, 309 (1st Cir. 1988); </w:t>
      </w:r>
      <w:r w:rsidR="00A04581" w:rsidRPr="00A04581">
        <w:rPr>
          <w:rFonts w:ascii="Times New Roman" w:eastAsia="Calibri" w:hAnsi="Times New Roman"/>
          <w:sz w:val="24"/>
          <w:szCs w:val="24"/>
          <w:u w:val="single"/>
        </w:rPr>
        <w:t>Blevins v. Cessna Aircraft Co.</w:t>
      </w:r>
      <w:r w:rsidR="00A04581" w:rsidRPr="00A04581">
        <w:rPr>
          <w:rFonts w:ascii="Times New Roman" w:eastAsia="Calibri" w:hAnsi="Times New Roman"/>
          <w:sz w:val="24"/>
          <w:szCs w:val="24"/>
        </w:rPr>
        <w:t xml:space="preserve">, 728 F.2d 1576, 1580 (10th Cir. 1984); </w:t>
      </w:r>
      <w:r w:rsidR="00A04581" w:rsidRPr="00A04581">
        <w:rPr>
          <w:rFonts w:ascii="Times New Roman" w:eastAsia="Calibri" w:hAnsi="Times New Roman"/>
          <w:sz w:val="24"/>
          <w:szCs w:val="24"/>
          <w:u w:val="single"/>
        </w:rPr>
        <w:t>Ivy v. Security Barge Lines, Inc.</w:t>
      </w:r>
      <w:r w:rsidR="00A04581" w:rsidRPr="00A04581">
        <w:rPr>
          <w:rFonts w:ascii="Times New Roman" w:eastAsia="Calibri" w:hAnsi="Times New Roman"/>
          <w:sz w:val="24"/>
          <w:szCs w:val="24"/>
        </w:rPr>
        <w:t>, 585 F.2d</w:t>
      </w:r>
      <w:r w:rsidR="003D2D55">
        <w:rPr>
          <w:rFonts w:ascii="Times New Roman" w:eastAsia="Calibri" w:hAnsi="Times New Roman"/>
          <w:sz w:val="24"/>
          <w:szCs w:val="24"/>
        </w:rPr>
        <w:t> </w:t>
      </w:r>
      <w:r w:rsidR="00A04581" w:rsidRPr="00A04581">
        <w:rPr>
          <w:rFonts w:ascii="Times New Roman" w:eastAsia="Calibri" w:hAnsi="Times New Roman"/>
          <w:sz w:val="24"/>
          <w:szCs w:val="24"/>
        </w:rPr>
        <w:t xml:space="preserve">732, 741 (5th Cir. 1978). They are “improper because they invite decision based on bias and prejudice rather than consideration of facts.” </w:t>
      </w:r>
      <w:r w:rsidR="00A04581" w:rsidRPr="00A04581">
        <w:rPr>
          <w:rFonts w:ascii="Times New Roman" w:eastAsia="Calibri" w:hAnsi="Times New Roman"/>
          <w:sz w:val="24"/>
          <w:szCs w:val="24"/>
          <w:u w:val="single"/>
        </w:rPr>
        <w:t>Johnson v. Howard</w:t>
      </w:r>
      <w:r w:rsidR="00A04581" w:rsidRPr="00A04581">
        <w:rPr>
          <w:rFonts w:ascii="Times New Roman" w:eastAsia="Calibri" w:hAnsi="Times New Roman"/>
          <w:sz w:val="24"/>
          <w:szCs w:val="24"/>
        </w:rPr>
        <w:t xml:space="preserve">, 24 F </w:t>
      </w:r>
      <w:proofErr w:type="spellStart"/>
      <w:r w:rsidR="00A04581" w:rsidRPr="00A04581">
        <w:rPr>
          <w:rFonts w:ascii="Times New Roman" w:eastAsia="Calibri" w:hAnsi="Times New Roman"/>
          <w:sz w:val="24"/>
          <w:szCs w:val="24"/>
        </w:rPr>
        <w:t>App’x</w:t>
      </w:r>
      <w:proofErr w:type="spellEnd"/>
      <w:r w:rsidR="00A04581" w:rsidRPr="00A04581">
        <w:rPr>
          <w:rFonts w:ascii="Times New Roman" w:eastAsia="Calibri" w:hAnsi="Times New Roman"/>
          <w:sz w:val="24"/>
          <w:szCs w:val="24"/>
        </w:rPr>
        <w:t xml:space="preserve"> 480, 487 (6th Cir. 2001); </w:t>
      </w:r>
      <w:r w:rsidR="00A04581" w:rsidRPr="00A04581">
        <w:rPr>
          <w:rFonts w:ascii="Times New Roman" w:eastAsia="Calibri" w:hAnsi="Times New Roman"/>
          <w:sz w:val="24"/>
          <w:szCs w:val="24"/>
          <w:u w:val="single"/>
        </w:rPr>
        <w:t>see</w:t>
      </w:r>
      <w:r w:rsidR="00A04581" w:rsidRPr="00A04581">
        <w:rPr>
          <w:rFonts w:ascii="Times New Roman" w:eastAsia="Calibri" w:hAnsi="Times New Roman"/>
          <w:sz w:val="24"/>
          <w:szCs w:val="24"/>
        </w:rPr>
        <w:t xml:space="preserve"> </w:t>
      </w:r>
      <w:r w:rsidR="00A04581" w:rsidRPr="00A04581">
        <w:rPr>
          <w:rFonts w:ascii="Times New Roman" w:eastAsia="Calibri" w:hAnsi="Times New Roman"/>
          <w:sz w:val="24"/>
          <w:szCs w:val="24"/>
          <w:u w:val="single"/>
        </w:rPr>
        <w:t>Edwards v. City of Philadelphia</w:t>
      </w:r>
      <w:r w:rsidR="00A04581" w:rsidRPr="00A04581">
        <w:rPr>
          <w:rFonts w:ascii="Times New Roman" w:eastAsia="Calibri" w:hAnsi="Times New Roman"/>
          <w:sz w:val="24"/>
          <w:szCs w:val="24"/>
        </w:rPr>
        <w:t>, 860 F.2d 568, 574 (3d Cir. 1988).</w:t>
      </w:r>
    </w:p>
    <w:p w14:paraId="2D2257CE" w14:textId="4AA2DAA1" w:rsidR="00A04581" w:rsidRPr="00A04581" w:rsidRDefault="00A04581" w:rsidP="00080AE9">
      <w:pPr>
        <w:spacing w:after="0" w:line="480" w:lineRule="auto"/>
        <w:ind w:firstLine="720"/>
        <w:jc w:val="both"/>
        <w:rPr>
          <w:rFonts w:ascii="Times New Roman" w:eastAsia="Calibri" w:hAnsi="Times New Roman"/>
          <w:sz w:val="24"/>
          <w:szCs w:val="24"/>
        </w:rPr>
      </w:pPr>
    </w:p>
    <w:p w14:paraId="62743D7D" w14:textId="5E87D7EC" w:rsidR="006F3B18" w:rsidRPr="008075A2" w:rsidRDefault="00A04581" w:rsidP="00AA32C0">
      <w:pPr>
        <w:spacing w:after="0" w:line="480" w:lineRule="auto"/>
        <w:jc w:val="both"/>
        <w:rPr>
          <w:rFonts w:ascii="Times New Roman" w:eastAsia="Calibri" w:hAnsi="Times New Roman"/>
          <w:sz w:val="24"/>
          <w:szCs w:val="24"/>
        </w:rPr>
      </w:pPr>
      <w:r w:rsidRPr="00A04581">
        <w:rPr>
          <w:rFonts w:ascii="Times New Roman" w:eastAsia="Calibri" w:hAnsi="Times New Roman"/>
          <w:sz w:val="24"/>
          <w:szCs w:val="24"/>
        </w:rPr>
        <w:tab/>
      </w:r>
      <w:bookmarkStart w:id="2" w:name="_Hlk72946285"/>
      <w:r w:rsidR="0077017D">
        <w:rPr>
          <w:rFonts w:ascii="Times New Roman" w:eastAsia="Calibri" w:hAnsi="Times New Roman"/>
          <w:sz w:val="24"/>
          <w:szCs w:val="24"/>
        </w:rPr>
        <w:t xml:space="preserve">This reasoning applies </w:t>
      </w:r>
      <w:r w:rsidR="00962128">
        <w:rPr>
          <w:rFonts w:ascii="Times New Roman" w:eastAsia="Calibri" w:hAnsi="Times New Roman"/>
          <w:sz w:val="24"/>
          <w:szCs w:val="24"/>
        </w:rPr>
        <w:t>equally to subtler variants of the</w:t>
      </w:r>
      <w:r w:rsidR="0077017D">
        <w:rPr>
          <w:rFonts w:ascii="Times New Roman" w:eastAsia="Calibri" w:hAnsi="Times New Roman"/>
          <w:sz w:val="24"/>
          <w:szCs w:val="24"/>
        </w:rPr>
        <w:t xml:space="preserve"> Golden Rule, </w:t>
      </w:r>
      <w:r w:rsidR="00962128">
        <w:rPr>
          <w:rFonts w:ascii="Times New Roman" w:eastAsia="Calibri" w:hAnsi="Times New Roman"/>
          <w:sz w:val="24"/>
          <w:szCs w:val="24"/>
        </w:rPr>
        <w:t>includin</w:t>
      </w:r>
      <w:r w:rsidR="007F084E">
        <w:rPr>
          <w:rFonts w:ascii="Times New Roman" w:eastAsia="Calibri" w:hAnsi="Times New Roman"/>
          <w:sz w:val="24"/>
          <w:szCs w:val="24"/>
        </w:rPr>
        <w:t>g</w:t>
      </w:r>
      <w:r w:rsidR="00962128">
        <w:rPr>
          <w:rFonts w:ascii="Times New Roman" w:eastAsia="Calibri" w:hAnsi="Times New Roman"/>
          <w:sz w:val="24"/>
          <w:szCs w:val="24"/>
        </w:rPr>
        <w:t xml:space="preserve"> rhetorical questions asking jurors to consider how they would fare in the plaintiff’s situation</w:t>
      </w:r>
      <w:r w:rsidR="009C2E58">
        <w:rPr>
          <w:rFonts w:ascii="Times New Roman" w:eastAsia="Calibri" w:hAnsi="Times New Roman"/>
          <w:sz w:val="24"/>
          <w:szCs w:val="24"/>
        </w:rPr>
        <w:t xml:space="preserve"> or an attorney’s </w:t>
      </w:r>
      <w:proofErr w:type="gramStart"/>
      <w:r w:rsidR="001A11C0">
        <w:rPr>
          <w:rFonts w:ascii="Times New Roman" w:eastAsia="Calibri" w:hAnsi="Times New Roman"/>
          <w:sz w:val="24"/>
          <w:szCs w:val="24"/>
        </w:rPr>
        <w:t>personal opinion</w:t>
      </w:r>
      <w:proofErr w:type="gramEnd"/>
      <w:r w:rsidR="001A11C0">
        <w:rPr>
          <w:rFonts w:ascii="Times New Roman" w:eastAsia="Calibri" w:hAnsi="Times New Roman"/>
          <w:sz w:val="24"/>
          <w:szCs w:val="24"/>
        </w:rPr>
        <w:t xml:space="preserve"> that he “cannot imagine” how he would</w:t>
      </w:r>
      <w:r w:rsidR="007F084E">
        <w:rPr>
          <w:rFonts w:ascii="Times New Roman" w:eastAsia="Calibri" w:hAnsi="Times New Roman"/>
          <w:sz w:val="24"/>
          <w:szCs w:val="24"/>
        </w:rPr>
        <w:t xml:space="preserve"> </w:t>
      </w:r>
      <w:r w:rsidR="00846E2E">
        <w:rPr>
          <w:rFonts w:ascii="Times New Roman" w:eastAsia="Calibri" w:hAnsi="Times New Roman"/>
          <w:sz w:val="24"/>
          <w:szCs w:val="24"/>
        </w:rPr>
        <w:t>navigate such hardship.</w:t>
      </w:r>
      <w:r w:rsidRPr="00A04581">
        <w:rPr>
          <w:rFonts w:ascii="Times New Roman" w:eastAsia="Calibri" w:hAnsi="Times New Roman"/>
          <w:sz w:val="24"/>
          <w:szCs w:val="24"/>
        </w:rPr>
        <w:t xml:space="preserve"> </w:t>
      </w:r>
      <w:r w:rsidR="00991DEB">
        <w:rPr>
          <w:rFonts w:ascii="Times New Roman" w:eastAsia="Calibri" w:hAnsi="Times New Roman"/>
          <w:sz w:val="24"/>
          <w:szCs w:val="24"/>
        </w:rPr>
        <w:t>Such</w:t>
      </w:r>
      <w:r w:rsidR="00991DEB" w:rsidRPr="00A04581">
        <w:rPr>
          <w:rFonts w:ascii="Times New Roman" w:eastAsia="Calibri" w:hAnsi="Times New Roman"/>
          <w:sz w:val="24"/>
          <w:szCs w:val="24"/>
        </w:rPr>
        <w:t xml:space="preserve"> </w:t>
      </w:r>
      <w:r w:rsidR="00D8469F">
        <w:rPr>
          <w:rFonts w:ascii="Times New Roman" w:eastAsia="Calibri" w:hAnsi="Times New Roman"/>
          <w:sz w:val="24"/>
          <w:szCs w:val="24"/>
        </w:rPr>
        <w:t>remarks</w:t>
      </w:r>
      <w:r w:rsidR="00991DEB">
        <w:rPr>
          <w:rFonts w:ascii="Times New Roman" w:eastAsia="Calibri" w:hAnsi="Times New Roman"/>
          <w:sz w:val="24"/>
          <w:szCs w:val="24"/>
        </w:rPr>
        <w:t xml:space="preserve"> make detecting </w:t>
      </w:r>
      <w:proofErr w:type="gramStart"/>
      <w:r w:rsidR="00991DEB">
        <w:rPr>
          <w:rFonts w:ascii="Times New Roman" w:eastAsia="Calibri" w:hAnsi="Times New Roman"/>
          <w:sz w:val="24"/>
          <w:szCs w:val="24"/>
        </w:rPr>
        <w:t>the impropriety</w:t>
      </w:r>
      <w:proofErr w:type="gramEnd"/>
      <w:r w:rsidR="00991DEB">
        <w:rPr>
          <w:rFonts w:ascii="Times New Roman" w:eastAsia="Calibri" w:hAnsi="Times New Roman"/>
          <w:sz w:val="24"/>
          <w:szCs w:val="24"/>
        </w:rPr>
        <w:t xml:space="preserve"> more difficult, and</w:t>
      </w:r>
      <w:r w:rsidRPr="00A04581">
        <w:rPr>
          <w:rFonts w:ascii="Times New Roman" w:eastAsia="Calibri" w:hAnsi="Times New Roman"/>
          <w:sz w:val="24"/>
          <w:szCs w:val="24"/>
        </w:rPr>
        <w:t xml:space="preserve"> </w:t>
      </w:r>
      <w:r w:rsidR="003D2D55">
        <w:rPr>
          <w:rFonts w:ascii="Times New Roman" w:eastAsia="Calibri" w:hAnsi="Times New Roman"/>
          <w:sz w:val="24"/>
          <w:szCs w:val="24"/>
        </w:rPr>
        <w:t>are,</w:t>
      </w:r>
      <w:r w:rsidR="003D2D55" w:rsidRPr="00A04581">
        <w:rPr>
          <w:rFonts w:ascii="Times New Roman" w:eastAsia="Calibri" w:hAnsi="Times New Roman"/>
          <w:sz w:val="24"/>
          <w:szCs w:val="24"/>
        </w:rPr>
        <w:t xml:space="preserve"> </w:t>
      </w:r>
      <w:r w:rsidRPr="00A04581">
        <w:rPr>
          <w:rFonts w:ascii="Times New Roman" w:eastAsia="Calibri" w:hAnsi="Times New Roman"/>
          <w:sz w:val="24"/>
          <w:szCs w:val="24"/>
        </w:rPr>
        <w:t>therefore</w:t>
      </w:r>
      <w:r w:rsidR="003D2D55">
        <w:rPr>
          <w:rFonts w:ascii="Times New Roman" w:eastAsia="Calibri" w:hAnsi="Times New Roman"/>
          <w:sz w:val="24"/>
          <w:szCs w:val="24"/>
        </w:rPr>
        <w:t>,</w:t>
      </w:r>
      <w:r w:rsidRPr="00A04581">
        <w:rPr>
          <w:rFonts w:ascii="Times New Roman" w:eastAsia="Calibri" w:hAnsi="Times New Roman"/>
          <w:sz w:val="24"/>
          <w:szCs w:val="24"/>
        </w:rPr>
        <w:t xml:space="preserve"> inherently more objectionable and improper, not </w:t>
      </w:r>
      <w:proofErr w:type="gramStart"/>
      <w:r w:rsidRPr="00A04581">
        <w:rPr>
          <w:rFonts w:ascii="Times New Roman" w:eastAsia="Calibri" w:hAnsi="Times New Roman"/>
          <w:sz w:val="24"/>
          <w:szCs w:val="24"/>
        </w:rPr>
        <w:t>less,</w:t>
      </w:r>
      <w:proofErr w:type="gramEnd"/>
      <w:r w:rsidRPr="00A04581">
        <w:rPr>
          <w:rFonts w:ascii="Times New Roman" w:eastAsia="Calibri" w:hAnsi="Times New Roman"/>
          <w:sz w:val="24"/>
          <w:szCs w:val="24"/>
        </w:rPr>
        <w:t xml:space="preserve"> than </w:t>
      </w:r>
      <w:r w:rsidR="00C54EA3">
        <w:rPr>
          <w:rFonts w:ascii="Times New Roman" w:eastAsia="Calibri" w:hAnsi="Times New Roman"/>
          <w:sz w:val="24"/>
          <w:szCs w:val="24"/>
        </w:rPr>
        <w:t xml:space="preserve">an explicit </w:t>
      </w:r>
      <w:r w:rsidRPr="00A04581">
        <w:rPr>
          <w:rFonts w:ascii="Times New Roman" w:eastAsia="Calibri" w:hAnsi="Times New Roman"/>
          <w:sz w:val="24"/>
          <w:szCs w:val="24"/>
        </w:rPr>
        <w:t>Golden Rule appeal.</w:t>
      </w:r>
      <w:bookmarkEnd w:id="2"/>
      <w:r w:rsidR="008C16CF">
        <w:rPr>
          <w:rFonts w:ascii="Times New Roman" w:eastAsia="Calibri" w:hAnsi="Times New Roman"/>
          <w:sz w:val="24"/>
          <w:szCs w:val="24"/>
        </w:rPr>
        <w:t xml:space="preserve"> </w:t>
      </w:r>
      <w:r w:rsidR="009A449F">
        <w:rPr>
          <w:rFonts w:ascii="Times New Roman" w:eastAsia="Calibri" w:hAnsi="Times New Roman"/>
          <w:sz w:val="24"/>
          <w:szCs w:val="24"/>
        </w:rPr>
        <w:t>D</w:t>
      </w:r>
      <w:r w:rsidR="00F87D1A">
        <w:rPr>
          <w:rFonts w:ascii="Times New Roman" w:eastAsia="Calibri" w:hAnsi="Times New Roman"/>
          <w:sz w:val="24"/>
          <w:szCs w:val="24"/>
        </w:rPr>
        <w:t xml:space="preserve">efendant should not be relegated to attempting to </w:t>
      </w:r>
      <w:proofErr w:type="spellStart"/>
      <w:r w:rsidR="00F87D1A">
        <w:rPr>
          <w:rFonts w:ascii="Times New Roman" w:eastAsia="Calibri" w:hAnsi="Times New Roman"/>
          <w:sz w:val="24"/>
          <w:szCs w:val="24"/>
        </w:rPr>
        <w:t>unring</w:t>
      </w:r>
      <w:proofErr w:type="spellEnd"/>
      <w:r w:rsidR="00F87D1A">
        <w:rPr>
          <w:rFonts w:ascii="Times New Roman" w:eastAsia="Calibri" w:hAnsi="Times New Roman"/>
          <w:sz w:val="24"/>
          <w:szCs w:val="24"/>
        </w:rPr>
        <w:t xml:space="preserve"> the bell of </w:t>
      </w:r>
      <w:proofErr w:type="spellStart"/>
      <w:proofErr w:type="gramStart"/>
      <w:r w:rsidR="00F87D1A">
        <w:rPr>
          <w:rFonts w:ascii="Times New Roman" w:eastAsia="Calibri" w:hAnsi="Times New Roman"/>
          <w:sz w:val="24"/>
          <w:szCs w:val="24"/>
        </w:rPr>
        <w:t>a</w:t>
      </w:r>
      <w:proofErr w:type="spellEnd"/>
      <w:proofErr w:type="gramEnd"/>
      <w:r w:rsidR="00F87D1A">
        <w:rPr>
          <w:rFonts w:ascii="Times New Roman" w:eastAsia="Calibri" w:hAnsi="Times New Roman"/>
          <w:sz w:val="24"/>
          <w:szCs w:val="24"/>
        </w:rPr>
        <w:t xml:space="preserve"> improper Golden Rule</w:t>
      </w:r>
      <w:r w:rsidR="00510ED6">
        <w:rPr>
          <w:rFonts w:ascii="Times New Roman" w:eastAsia="Calibri" w:hAnsi="Times New Roman"/>
          <w:sz w:val="24"/>
          <w:szCs w:val="24"/>
        </w:rPr>
        <w:t xml:space="preserve"> comment</w:t>
      </w:r>
      <w:r w:rsidR="009F135D">
        <w:rPr>
          <w:rFonts w:ascii="Times New Roman" w:eastAsia="Calibri" w:hAnsi="Times New Roman"/>
          <w:sz w:val="24"/>
          <w:szCs w:val="24"/>
        </w:rPr>
        <w:t>ary</w:t>
      </w:r>
      <w:r w:rsidR="009D70C5">
        <w:rPr>
          <w:rFonts w:ascii="Times New Roman" w:eastAsia="Calibri" w:hAnsi="Times New Roman"/>
          <w:sz w:val="24"/>
          <w:szCs w:val="24"/>
        </w:rPr>
        <w:t xml:space="preserve"> </w:t>
      </w:r>
      <w:r w:rsidR="009F135D">
        <w:rPr>
          <w:rFonts w:ascii="Times New Roman" w:eastAsia="Calibri" w:hAnsi="Times New Roman"/>
          <w:sz w:val="24"/>
          <w:szCs w:val="24"/>
        </w:rPr>
        <w:t xml:space="preserve">with a fruitless after-the-fact motion for a curative instruction. </w:t>
      </w:r>
      <w:r w:rsidR="0065133A">
        <w:rPr>
          <w:rFonts w:ascii="Times New Roman" w:eastAsia="Calibri" w:hAnsi="Times New Roman"/>
          <w:sz w:val="24"/>
          <w:szCs w:val="24"/>
        </w:rPr>
        <w:t xml:space="preserve">Rather, the Court should </w:t>
      </w:r>
      <w:r w:rsidR="00CE6212">
        <w:rPr>
          <w:rFonts w:ascii="Times New Roman" w:eastAsia="Calibri" w:hAnsi="Times New Roman"/>
          <w:sz w:val="24"/>
          <w:szCs w:val="24"/>
        </w:rPr>
        <w:t xml:space="preserve">pre-emptively </w:t>
      </w:r>
      <w:r w:rsidR="0065133A">
        <w:rPr>
          <w:rFonts w:ascii="Times New Roman" w:eastAsia="Calibri" w:hAnsi="Times New Roman"/>
          <w:sz w:val="24"/>
          <w:szCs w:val="24"/>
        </w:rPr>
        <w:t xml:space="preserve">prohibit counsel, as an officer of the court, from </w:t>
      </w:r>
      <w:r w:rsidR="00A24A7C">
        <w:rPr>
          <w:rFonts w:ascii="Times New Roman" w:eastAsia="Calibri" w:hAnsi="Times New Roman"/>
          <w:sz w:val="24"/>
          <w:szCs w:val="24"/>
        </w:rPr>
        <w:t xml:space="preserve">inviting jurors to abandon their impartiality </w:t>
      </w:r>
      <w:r w:rsidR="007859B7">
        <w:rPr>
          <w:rFonts w:ascii="Times New Roman" w:eastAsia="Calibri" w:hAnsi="Times New Roman"/>
          <w:sz w:val="24"/>
          <w:szCs w:val="24"/>
        </w:rPr>
        <w:t xml:space="preserve">in direct </w:t>
      </w:r>
      <w:r w:rsidR="004C14D8">
        <w:rPr>
          <w:rFonts w:ascii="Times New Roman" w:eastAsia="Calibri" w:hAnsi="Times New Roman"/>
          <w:sz w:val="24"/>
          <w:szCs w:val="24"/>
        </w:rPr>
        <w:t>contradiction</w:t>
      </w:r>
      <w:r w:rsidR="007859B7">
        <w:rPr>
          <w:rFonts w:ascii="Times New Roman" w:eastAsia="Calibri" w:hAnsi="Times New Roman"/>
          <w:sz w:val="24"/>
          <w:szCs w:val="24"/>
        </w:rPr>
        <w:t xml:space="preserve"> of the law with which the Court will later charge them. </w:t>
      </w:r>
    </w:p>
    <w:p w14:paraId="1541E3CC" w14:textId="77777777" w:rsidR="00A04581" w:rsidRPr="00A04581" w:rsidRDefault="00A04581" w:rsidP="00080AE9">
      <w:pPr>
        <w:spacing w:after="0" w:line="480" w:lineRule="auto"/>
        <w:jc w:val="center"/>
        <w:rPr>
          <w:rFonts w:ascii="Times New Roman" w:eastAsia="Calibri" w:hAnsi="Times New Roman"/>
          <w:sz w:val="24"/>
          <w:szCs w:val="24"/>
          <w:u w:val="single"/>
        </w:rPr>
      </w:pPr>
      <w:r w:rsidRPr="00A04581">
        <w:rPr>
          <w:rFonts w:ascii="Times New Roman" w:eastAsia="Calibri" w:hAnsi="Times New Roman"/>
          <w:sz w:val="24"/>
          <w:szCs w:val="24"/>
          <w:u w:val="single"/>
        </w:rPr>
        <w:t>CONCLUSION</w:t>
      </w:r>
    </w:p>
    <w:p w14:paraId="0280750A" w14:textId="00BB4507" w:rsidR="00671864" w:rsidRDefault="00671864" w:rsidP="00B74A9A">
      <w:pPr>
        <w:spacing w:after="0" w:line="480" w:lineRule="auto"/>
        <w:ind w:firstLine="720"/>
        <w:jc w:val="both"/>
        <w:rPr>
          <w:rFonts w:ascii="Times New Roman" w:eastAsia="Calibri" w:hAnsi="Times New Roman"/>
          <w:sz w:val="24"/>
          <w:szCs w:val="24"/>
        </w:rPr>
      </w:pPr>
      <w:r w:rsidRPr="00A04581">
        <w:rPr>
          <w:rFonts w:ascii="Times New Roman" w:eastAsia="Calibri" w:hAnsi="Times New Roman"/>
          <w:sz w:val="24"/>
          <w:szCs w:val="24"/>
        </w:rPr>
        <w:t xml:space="preserve">Golden Rule appeals imperil the jurors’ impartiality by inviting them to place themselves in the shoes of the plaintiff, thereby converting them into personally involved and, therefore, </w:t>
      </w:r>
      <w:r w:rsidRPr="00A04581">
        <w:rPr>
          <w:rFonts w:ascii="Times New Roman" w:eastAsia="Calibri" w:hAnsi="Times New Roman"/>
          <w:i/>
          <w:iCs/>
          <w:sz w:val="24"/>
          <w:szCs w:val="24"/>
        </w:rPr>
        <w:t>partial</w:t>
      </w:r>
      <w:r w:rsidRPr="00A04581">
        <w:rPr>
          <w:rFonts w:ascii="Times New Roman" w:eastAsia="Calibri" w:hAnsi="Times New Roman"/>
          <w:sz w:val="24"/>
          <w:szCs w:val="24"/>
        </w:rPr>
        <w:t xml:space="preserve"> arbiters rather than disinterested and dispassionate factfinders. At bottom, therefore, injection of the Golden Rule is improper</w:t>
      </w:r>
      <w:r w:rsidR="001330E4">
        <w:rPr>
          <w:rFonts w:ascii="Times New Roman" w:eastAsia="Calibri" w:hAnsi="Times New Roman"/>
          <w:sz w:val="24"/>
          <w:szCs w:val="24"/>
        </w:rPr>
        <w:t>, as</w:t>
      </w:r>
      <w:r w:rsidRPr="00A04581">
        <w:rPr>
          <w:rFonts w:ascii="Times New Roman" w:eastAsia="Calibri" w:hAnsi="Times New Roman"/>
          <w:sz w:val="24"/>
          <w:szCs w:val="24"/>
        </w:rPr>
        <w:t xml:space="preserve"> it defeats the truth-seeking function of a trial by directing the jurors’ attention away from the relevant evidence to decidedly irrelevant considerations calculated to evoke feelings of sympathy, scorn, anger, fear, or vengeance.</w:t>
      </w:r>
    </w:p>
    <w:p w14:paraId="347858AF" w14:textId="61423993" w:rsidR="00F04DC1" w:rsidRPr="00A04581" w:rsidRDefault="00A04581" w:rsidP="00B74A9A">
      <w:pPr>
        <w:spacing w:after="0" w:line="480" w:lineRule="auto"/>
        <w:ind w:firstLine="720"/>
        <w:jc w:val="both"/>
        <w:rPr>
          <w:rFonts w:ascii="Times New Roman" w:eastAsia="Calibri" w:hAnsi="Times New Roman" w:cs="Times New Roman"/>
          <w:kern w:val="0"/>
          <w:sz w:val="24"/>
          <w:szCs w:val="24"/>
          <w14:ligatures w14:val="none"/>
        </w:rPr>
      </w:pPr>
      <w:r w:rsidRPr="00A04581">
        <w:rPr>
          <w:rFonts w:ascii="Times New Roman" w:eastAsia="Calibri" w:hAnsi="Times New Roman"/>
          <w:sz w:val="24"/>
          <w:szCs w:val="24"/>
        </w:rPr>
        <w:t xml:space="preserve">Accordingly, defendants </w:t>
      </w:r>
      <w:r w:rsidR="001330E4">
        <w:rPr>
          <w:rFonts w:ascii="Times New Roman" w:eastAsia="Calibri" w:hAnsi="Times New Roman"/>
          <w:sz w:val="24"/>
          <w:szCs w:val="24"/>
        </w:rPr>
        <w:t>respectfully request</w:t>
      </w:r>
      <w:r w:rsidRPr="00A04581">
        <w:rPr>
          <w:rFonts w:ascii="Times New Roman" w:eastAsia="Calibri" w:hAnsi="Times New Roman"/>
          <w:sz w:val="24"/>
          <w:szCs w:val="24"/>
        </w:rPr>
        <w:t xml:space="preserve"> an Order precluding improper</w:t>
      </w:r>
      <w:r w:rsidR="001330E4">
        <w:rPr>
          <w:rFonts w:ascii="Times New Roman" w:eastAsia="Calibri" w:hAnsi="Times New Roman"/>
          <w:sz w:val="24"/>
          <w:szCs w:val="24"/>
        </w:rPr>
        <w:t>,</w:t>
      </w:r>
      <w:r w:rsidRPr="00A04581">
        <w:rPr>
          <w:rFonts w:ascii="Times New Roman" w:eastAsia="Calibri" w:hAnsi="Times New Roman"/>
          <w:sz w:val="24"/>
          <w:szCs w:val="24"/>
        </w:rPr>
        <w:t xml:space="preserve">  irrelevant</w:t>
      </w:r>
      <w:r w:rsidR="001330E4">
        <w:rPr>
          <w:rFonts w:ascii="Times New Roman" w:eastAsia="Calibri" w:hAnsi="Times New Roman"/>
          <w:sz w:val="24"/>
          <w:szCs w:val="24"/>
        </w:rPr>
        <w:t>,</w:t>
      </w:r>
      <w:r w:rsidRPr="00A04581">
        <w:rPr>
          <w:rFonts w:ascii="Times New Roman" w:eastAsia="Calibri" w:hAnsi="Times New Roman"/>
          <w:sz w:val="24"/>
          <w:szCs w:val="24"/>
        </w:rPr>
        <w:t xml:space="preserve"> </w:t>
      </w:r>
      <w:r w:rsidR="001330E4">
        <w:rPr>
          <w:rFonts w:ascii="Times New Roman" w:eastAsia="Calibri" w:hAnsi="Times New Roman"/>
          <w:sz w:val="24"/>
          <w:szCs w:val="24"/>
        </w:rPr>
        <w:t xml:space="preserve">and </w:t>
      </w:r>
      <w:r w:rsidRPr="00A04581">
        <w:rPr>
          <w:rFonts w:ascii="Times New Roman" w:eastAsia="Calibri" w:hAnsi="Times New Roman"/>
          <w:sz w:val="24"/>
          <w:szCs w:val="24"/>
        </w:rPr>
        <w:t>highly unfair</w:t>
      </w:r>
      <w:r w:rsidR="001330E4">
        <w:rPr>
          <w:rFonts w:ascii="Times New Roman" w:eastAsia="Calibri" w:hAnsi="Times New Roman"/>
          <w:sz w:val="24"/>
          <w:szCs w:val="24"/>
        </w:rPr>
        <w:t xml:space="preserve"> and</w:t>
      </w:r>
      <w:r w:rsidRPr="00A04581">
        <w:rPr>
          <w:rFonts w:ascii="Times New Roman" w:eastAsia="Calibri" w:hAnsi="Times New Roman"/>
          <w:sz w:val="24"/>
          <w:szCs w:val="24"/>
        </w:rPr>
        <w:t xml:space="preserve"> prejudicial Golden Rule questions or commentary.</w:t>
      </w:r>
    </w:p>
    <w:p w14:paraId="736A6018" w14:textId="77777777" w:rsidR="009A1E0A" w:rsidRPr="00620207" w:rsidRDefault="009A1E0A" w:rsidP="00B74A9A">
      <w:pPr>
        <w:spacing w:after="0" w:line="480" w:lineRule="auto"/>
        <w:contextualSpacing/>
        <w:rPr>
          <w:rFonts w:ascii="Times New Roman" w:eastAsia="Calibri" w:hAnsi="Times New Roman" w:cs="Times New Roman"/>
          <w:kern w:val="0"/>
          <w:sz w:val="24"/>
          <w:szCs w:val="24"/>
          <w14:ligatures w14:val="none"/>
        </w:rPr>
      </w:pPr>
      <w:r w:rsidRPr="00620207">
        <w:rPr>
          <w:rFonts w:ascii="Times New Roman" w:eastAsia="Calibri" w:hAnsi="Times New Roman" w:cs="Times New Roman"/>
          <w:kern w:val="0"/>
          <w:sz w:val="24"/>
          <w:szCs w:val="24"/>
          <w14:ligatures w14:val="none"/>
        </w:rPr>
        <w:t>Dated: New York, New York</w:t>
      </w:r>
      <w:r w:rsidRPr="00620207">
        <w:rPr>
          <w:rFonts w:ascii="Times New Roman" w:eastAsia="Calibri" w:hAnsi="Times New Roman" w:cs="Times New Roman"/>
          <w:kern w:val="0"/>
          <w:sz w:val="24"/>
          <w:szCs w:val="24"/>
          <w14:ligatures w14:val="none"/>
        </w:rPr>
        <w:tab/>
      </w:r>
      <w:r w:rsidRPr="00620207">
        <w:rPr>
          <w:rFonts w:ascii="Times New Roman" w:eastAsia="Calibri" w:hAnsi="Times New Roman" w:cs="Times New Roman"/>
          <w:kern w:val="0"/>
          <w:sz w:val="24"/>
          <w:szCs w:val="24"/>
          <w14:ligatures w14:val="none"/>
        </w:rPr>
        <w:tab/>
      </w:r>
      <w:r w:rsidRPr="00620207">
        <w:rPr>
          <w:rFonts w:ascii="Times New Roman" w:eastAsia="Calibri" w:hAnsi="Times New Roman" w:cs="Times New Roman"/>
          <w:kern w:val="0"/>
          <w:sz w:val="24"/>
          <w:szCs w:val="24"/>
          <w14:ligatures w14:val="none"/>
        </w:rPr>
        <w:tab/>
        <w:t>Respectfully submitted,</w:t>
      </w:r>
    </w:p>
    <w:p w14:paraId="52F563A4" w14:textId="1EA7ADC4" w:rsidR="009A1E0A" w:rsidRPr="00620207" w:rsidRDefault="009A1E0A" w:rsidP="00B74A9A">
      <w:pPr>
        <w:spacing w:after="0" w:line="480" w:lineRule="auto"/>
        <w:contextualSpacing/>
        <w:rPr>
          <w:rFonts w:ascii="Times New Roman" w:eastAsia="Calibri" w:hAnsi="Times New Roman" w:cs="Times New Roman"/>
          <w:kern w:val="0"/>
          <w:sz w:val="24"/>
          <w:szCs w:val="24"/>
          <w14:ligatures w14:val="none"/>
        </w:rPr>
      </w:pPr>
      <w:r w:rsidRPr="00620207">
        <w:rPr>
          <w:rFonts w:ascii="Times New Roman" w:eastAsia="Calibri" w:hAnsi="Times New Roman" w:cs="Times New Roman"/>
          <w:kern w:val="0"/>
          <w:sz w:val="24"/>
          <w:szCs w:val="24"/>
          <w14:ligatures w14:val="none"/>
        </w:rPr>
        <w:tab/>
      </w:r>
      <w:r w:rsidR="00AA32C0">
        <w:rPr>
          <w:rFonts w:ascii="Times New Roman" w:eastAsia="Calibri" w:hAnsi="Times New Roman" w:cs="Times New Roman"/>
          <w:kern w:val="0"/>
          <w:sz w:val="24"/>
          <w:szCs w:val="24"/>
          <w14:ligatures w14:val="none"/>
        </w:rPr>
        <w:t>DATE</w:t>
      </w:r>
    </w:p>
    <w:p w14:paraId="2AFC6C36" w14:textId="77777777" w:rsidR="009A1E0A" w:rsidRPr="00620207" w:rsidRDefault="009A1E0A" w:rsidP="00B74A9A">
      <w:pPr>
        <w:spacing w:after="0" w:line="480" w:lineRule="auto"/>
        <w:contextualSpacing/>
        <w:rPr>
          <w:rFonts w:ascii="Times New Roman" w:eastAsia="Calibri" w:hAnsi="Times New Roman" w:cs="Times New Roman"/>
          <w:kern w:val="0"/>
          <w:sz w:val="24"/>
          <w:szCs w:val="24"/>
          <w14:ligatures w14:val="none"/>
        </w:rPr>
      </w:pPr>
      <w:r w:rsidRPr="00620207">
        <w:rPr>
          <w:rFonts w:ascii="Times New Roman" w:eastAsia="Calibri" w:hAnsi="Times New Roman" w:cs="Times New Roman"/>
          <w:kern w:val="0"/>
          <w:sz w:val="24"/>
          <w:szCs w:val="24"/>
          <w14:ligatures w14:val="none"/>
        </w:rPr>
        <w:t xml:space="preserve"> </w:t>
      </w:r>
    </w:p>
    <w:p w14:paraId="4E2B41F7" w14:textId="4AF4CBB9" w:rsidR="00620207" w:rsidRPr="00620207" w:rsidRDefault="009A1E0A" w:rsidP="00241513">
      <w:pPr>
        <w:spacing w:after="0" w:line="240" w:lineRule="auto"/>
        <w:contextualSpacing/>
        <w:rPr>
          <w:rFonts w:ascii="Times New Roman" w:eastAsia="Calibri" w:hAnsi="Times New Roman" w:cs="Times New Roman"/>
          <w:kern w:val="0"/>
          <w:sz w:val="24"/>
          <w:szCs w:val="24"/>
          <w14:ligatures w14:val="none"/>
        </w:rPr>
      </w:pPr>
      <w:r w:rsidRPr="00620207">
        <w:rPr>
          <w:rFonts w:ascii="Times New Roman" w:eastAsia="Calibri" w:hAnsi="Times New Roman" w:cs="Times New Roman"/>
          <w:kern w:val="0"/>
          <w:sz w:val="24"/>
          <w:szCs w:val="24"/>
          <w14:ligatures w14:val="none"/>
        </w:rPr>
        <w:tab/>
      </w:r>
      <w:r w:rsidRPr="00620207">
        <w:rPr>
          <w:rFonts w:ascii="Times New Roman" w:eastAsia="Calibri" w:hAnsi="Times New Roman" w:cs="Times New Roman"/>
          <w:kern w:val="0"/>
          <w:sz w:val="24"/>
          <w:szCs w:val="24"/>
          <w14:ligatures w14:val="none"/>
        </w:rPr>
        <w:tab/>
      </w:r>
      <w:r w:rsidRPr="00620207">
        <w:rPr>
          <w:rFonts w:ascii="Times New Roman" w:eastAsia="Calibri" w:hAnsi="Times New Roman" w:cs="Times New Roman"/>
          <w:kern w:val="0"/>
          <w:sz w:val="24"/>
          <w:szCs w:val="24"/>
          <w14:ligatures w14:val="none"/>
        </w:rPr>
        <w:tab/>
      </w:r>
      <w:r w:rsidRPr="00620207">
        <w:rPr>
          <w:rFonts w:ascii="Times New Roman" w:eastAsia="Calibri" w:hAnsi="Times New Roman" w:cs="Times New Roman"/>
          <w:kern w:val="0"/>
          <w:sz w:val="24"/>
          <w:szCs w:val="24"/>
          <w14:ligatures w14:val="none"/>
        </w:rPr>
        <w:tab/>
      </w:r>
      <w:r w:rsidR="00695827" w:rsidRPr="00620207">
        <w:rPr>
          <w:rFonts w:ascii="Times New Roman" w:eastAsia="Calibri" w:hAnsi="Times New Roman" w:cs="Times New Roman"/>
          <w:kern w:val="0"/>
          <w:sz w:val="24"/>
          <w:szCs w:val="24"/>
          <w14:ligatures w14:val="none"/>
        </w:rPr>
        <w:tab/>
      </w:r>
      <w:r w:rsidR="00695827" w:rsidRPr="00620207">
        <w:rPr>
          <w:rFonts w:ascii="Times New Roman" w:eastAsia="Calibri" w:hAnsi="Times New Roman" w:cs="Times New Roman"/>
          <w:kern w:val="0"/>
          <w:sz w:val="24"/>
          <w:szCs w:val="24"/>
          <w14:ligatures w14:val="none"/>
        </w:rPr>
        <w:tab/>
      </w:r>
    </w:p>
    <w:p w14:paraId="54A570A9" w14:textId="77777777" w:rsidR="007C2A4F" w:rsidRPr="00620207" w:rsidRDefault="007C2A4F" w:rsidP="00B74A9A">
      <w:pPr>
        <w:spacing w:after="0" w:line="480" w:lineRule="auto"/>
        <w:rPr>
          <w:rFonts w:ascii="Times New Roman" w:eastAsia="Calibri" w:hAnsi="Times New Roman" w:cs="Times New Roman"/>
          <w:kern w:val="0"/>
          <w:sz w:val="24"/>
          <w:szCs w:val="24"/>
          <w14:ligatures w14:val="none"/>
        </w:rPr>
      </w:pPr>
    </w:p>
    <w:sectPr w:rsidR="007C2A4F" w:rsidRPr="00620207" w:rsidSect="00A131F9">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BED88" w14:textId="77777777" w:rsidR="00125DEE" w:rsidRDefault="00125DEE" w:rsidP="00F04DC1">
      <w:pPr>
        <w:spacing w:after="0" w:line="240" w:lineRule="auto"/>
      </w:pPr>
      <w:r>
        <w:separator/>
      </w:r>
    </w:p>
  </w:endnote>
  <w:endnote w:type="continuationSeparator" w:id="0">
    <w:p w14:paraId="624997D4" w14:textId="77777777" w:rsidR="00125DEE" w:rsidRDefault="00125DEE" w:rsidP="00F04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47647998"/>
      <w:docPartObj>
        <w:docPartGallery w:val="Page Numbers (Bottom of Page)"/>
        <w:docPartUnique/>
      </w:docPartObj>
    </w:sdtPr>
    <w:sdtEndPr>
      <w:rPr>
        <w:noProof/>
      </w:rPr>
    </w:sdtEndPr>
    <w:sdtContent>
      <w:p w14:paraId="0388AD4D" w14:textId="129CBA96" w:rsidR="00BE739E" w:rsidRPr="00BE739E" w:rsidRDefault="00BE739E">
        <w:pPr>
          <w:pStyle w:val="Footer"/>
          <w:jc w:val="center"/>
          <w:rPr>
            <w:rFonts w:ascii="Times New Roman" w:hAnsi="Times New Roman" w:cs="Times New Roman"/>
            <w:sz w:val="24"/>
            <w:szCs w:val="24"/>
          </w:rPr>
        </w:pPr>
        <w:r w:rsidRPr="00BE739E">
          <w:rPr>
            <w:rFonts w:ascii="Times New Roman" w:hAnsi="Times New Roman" w:cs="Times New Roman"/>
            <w:sz w:val="24"/>
            <w:szCs w:val="24"/>
          </w:rPr>
          <w:fldChar w:fldCharType="begin"/>
        </w:r>
        <w:r w:rsidRPr="00BE739E">
          <w:rPr>
            <w:rFonts w:ascii="Times New Roman" w:hAnsi="Times New Roman" w:cs="Times New Roman"/>
            <w:sz w:val="24"/>
            <w:szCs w:val="24"/>
          </w:rPr>
          <w:instrText xml:space="preserve"> PAGE   \* MERGEFORMAT </w:instrText>
        </w:r>
        <w:r w:rsidRPr="00BE739E">
          <w:rPr>
            <w:rFonts w:ascii="Times New Roman" w:hAnsi="Times New Roman" w:cs="Times New Roman"/>
            <w:sz w:val="24"/>
            <w:szCs w:val="24"/>
          </w:rPr>
          <w:fldChar w:fldCharType="separate"/>
        </w:r>
        <w:r w:rsidRPr="00BE739E">
          <w:rPr>
            <w:rFonts w:ascii="Times New Roman" w:hAnsi="Times New Roman" w:cs="Times New Roman"/>
            <w:noProof/>
            <w:sz w:val="24"/>
            <w:szCs w:val="24"/>
          </w:rPr>
          <w:t>2</w:t>
        </w:r>
        <w:r w:rsidRPr="00BE739E">
          <w:rPr>
            <w:rFonts w:ascii="Times New Roman" w:hAnsi="Times New Roman" w:cs="Times New Roman"/>
            <w:noProof/>
            <w:sz w:val="24"/>
            <w:szCs w:val="24"/>
          </w:rPr>
          <w:fldChar w:fldCharType="end"/>
        </w:r>
      </w:p>
    </w:sdtContent>
  </w:sdt>
  <w:p w14:paraId="30564AC3" w14:textId="77777777" w:rsidR="00BE739E" w:rsidRPr="00BE739E" w:rsidRDefault="00BE739E">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286B0" w14:textId="77777777" w:rsidR="00125DEE" w:rsidRDefault="00125DEE" w:rsidP="00F04DC1">
      <w:pPr>
        <w:spacing w:after="0" w:line="240" w:lineRule="auto"/>
      </w:pPr>
      <w:r>
        <w:separator/>
      </w:r>
    </w:p>
  </w:footnote>
  <w:footnote w:type="continuationSeparator" w:id="0">
    <w:p w14:paraId="68C4AD06" w14:textId="77777777" w:rsidR="00125DEE" w:rsidRDefault="00125DEE" w:rsidP="00F04DC1">
      <w:pPr>
        <w:spacing w:after="0" w:line="240" w:lineRule="auto"/>
      </w:pPr>
      <w:r>
        <w:continuationSeparator/>
      </w:r>
    </w:p>
  </w:footnote>
  <w:footnote w:id="1">
    <w:p w14:paraId="754F075E" w14:textId="27CE905C" w:rsidR="006A30EF" w:rsidRDefault="006A30EF" w:rsidP="00CD164F">
      <w:pPr>
        <w:pStyle w:val="FootnoteText"/>
        <w:jc w:val="both"/>
      </w:pPr>
      <w:r>
        <w:rPr>
          <w:rStyle w:val="FootnoteReference"/>
        </w:rPr>
        <w:footnoteRef/>
      </w:r>
      <w:r>
        <w:t xml:space="preserve"> </w:t>
      </w:r>
      <w:r w:rsidR="00726EF7" w:rsidRPr="006002AE">
        <w:rPr>
          <w:rFonts w:eastAsia="Calibri"/>
        </w:rPr>
        <w:t xml:space="preserve">The Court need not believe defendants. </w:t>
      </w:r>
      <w:r w:rsidR="00E44898">
        <w:rPr>
          <w:rFonts w:eastAsia="Calibri"/>
        </w:rPr>
        <w:t xml:space="preserve">In “Reptile: The 2009 Manual of the Plaintiff’s Revolution,” </w:t>
      </w:r>
      <w:r w:rsidR="00726EF7" w:rsidRPr="006002AE">
        <w:rPr>
          <w:rFonts w:eastAsia="Calibri"/>
        </w:rPr>
        <w:t>(</w:t>
      </w:r>
      <w:r w:rsidR="00726EF7">
        <w:rPr>
          <w:rFonts w:eastAsia="Calibri"/>
        </w:rPr>
        <w:t>p.</w:t>
      </w:r>
      <w:r w:rsidR="00726EF7" w:rsidRPr="006002AE">
        <w:rPr>
          <w:rFonts w:eastAsia="Calibri"/>
        </w:rPr>
        <w:t xml:space="preserve"> 169)</w:t>
      </w:r>
      <w:r w:rsidR="00E44898">
        <w:rPr>
          <w:rFonts w:eastAsia="Calibri"/>
        </w:rPr>
        <w:t xml:space="preserve">, authors David Ball and Don Keenan </w:t>
      </w:r>
      <w:r w:rsidR="00726EF7" w:rsidRPr="006002AE">
        <w:rPr>
          <w:rFonts w:eastAsia="Calibri"/>
        </w:rPr>
        <w:t xml:space="preserve">describe a proper compensatory damages presentation (“100% about your client”) as an insufficient, old-fashioned strategy that should be discarded for </w:t>
      </w:r>
      <w:r w:rsidR="00726EF7">
        <w:rPr>
          <w:rFonts w:eastAsia="Calibri"/>
        </w:rPr>
        <w:t>an</w:t>
      </w:r>
      <w:r w:rsidR="00726EF7" w:rsidRPr="006002AE">
        <w:rPr>
          <w:rFonts w:eastAsia="Calibri"/>
        </w:rPr>
        <w:t xml:space="preserve"> improper one: “</w:t>
      </w:r>
      <w:r w:rsidR="00726EF7" w:rsidRPr="006002AE">
        <w:t>In non-punitive cases, trial lawyers have always relied on jurors empathizing with your client’s harms and losses, and compensating accordingly. For years, some teachers taught that you should start your opening statement with damages, explain how the damages occurred, and show how they could have been prevented. This made the case 100% about your client. But the Reptile is not particularly concerned with your client. Our research revealed a different picture: the reptile is concerned with the Reptile – meaning the individual juror: his world and family, their survival, and little else.</w:t>
      </w:r>
      <w:r w:rsidR="00726EF7" w:rsidRPr="006002AE">
        <w:rPr>
          <w:rFonts w:eastAsia="Calibri"/>
        </w:rPr>
        <w:t xml:space="preserve"> </w:t>
      </w:r>
      <w:r w:rsidR="00726EF7" w:rsidRPr="006002AE">
        <w:t>. . . A direct reference to “this could happen to you” (the individual juror) would violate the Golden Rule. But you don’t need to make direct references.”</w:t>
      </w:r>
    </w:p>
    <w:p w14:paraId="323B8952" w14:textId="77777777" w:rsidR="00726EF7" w:rsidRDefault="00726EF7">
      <w:pPr>
        <w:pStyle w:val="FootnoteText"/>
      </w:pPr>
    </w:p>
  </w:footnote>
  <w:footnote w:id="2">
    <w:p w14:paraId="0DF56714" w14:textId="3E954280" w:rsidR="00A04581" w:rsidRPr="000C331F" w:rsidRDefault="00A04581" w:rsidP="00A04581">
      <w:pPr>
        <w:jc w:val="both"/>
        <w:rPr>
          <w:rFonts w:ascii="Times New Roman" w:eastAsia="Calibri" w:hAnsi="Times New Roman"/>
          <w:sz w:val="20"/>
        </w:rPr>
      </w:pPr>
      <w:r w:rsidRPr="000C331F">
        <w:rPr>
          <w:rStyle w:val="FootnoteReference"/>
          <w:rFonts w:ascii="Times New Roman" w:eastAsiaTheme="majorEastAsia" w:hAnsi="Times New Roman"/>
          <w:sz w:val="20"/>
        </w:rPr>
        <w:footnoteRef/>
      </w:r>
      <w:bookmarkStart w:id="1" w:name="_Hlk89338488"/>
      <w:r>
        <w:rPr>
          <w:rFonts w:ascii="Times New Roman" w:eastAsia="Calibri" w:hAnsi="Times New Roman"/>
          <w:sz w:val="20"/>
          <w:u w:val="single"/>
        </w:rPr>
        <w:t xml:space="preserve"> </w:t>
      </w:r>
      <w:r w:rsidRPr="000C331F">
        <w:rPr>
          <w:rFonts w:ascii="Times New Roman" w:eastAsia="Calibri" w:hAnsi="Times New Roman"/>
          <w:sz w:val="20"/>
          <w:u w:val="single"/>
        </w:rPr>
        <w:t>See</w:t>
      </w:r>
      <w:r w:rsidRPr="000C331F">
        <w:rPr>
          <w:rFonts w:ascii="Times New Roman" w:eastAsia="Calibri" w:hAnsi="Times New Roman"/>
          <w:sz w:val="20"/>
        </w:rPr>
        <w:t xml:space="preserve"> </w:t>
      </w:r>
      <w:proofErr w:type="spellStart"/>
      <w:r w:rsidRPr="000C331F">
        <w:rPr>
          <w:rFonts w:ascii="Times New Roman" w:eastAsia="Calibri" w:hAnsi="Times New Roman"/>
          <w:sz w:val="20"/>
          <w:u w:val="single"/>
        </w:rPr>
        <w:t>Liosi</w:t>
      </w:r>
      <w:proofErr w:type="spellEnd"/>
      <w:r w:rsidRPr="000C331F">
        <w:rPr>
          <w:rFonts w:ascii="Times New Roman" w:eastAsia="Calibri" w:hAnsi="Times New Roman"/>
          <w:sz w:val="20"/>
          <w:u w:val="single"/>
        </w:rPr>
        <w:t xml:space="preserve"> v. Vaccaro</w:t>
      </w:r>
      <w:r w:rsidRPr="000C331F">
        <w:rPr>
          <w:rFonts w:ascii="Times New Roman" w:eastAsia="Calibri" w:hAnsi="Times New Roman"/>
          <w:sz w:val="20"/>
        </w:rPr>
        <w:t>, 35 A.D.2d 790 (1st Dep</w:t>
      </w:r>
      <w:r>
        <w:rPr>
          <w:rFonts w:ascii="Times New Roman" w:eastAsia="Calibri" w:hAnsi="Times New Roman"/>
          <w:sz w:val="20"/>
        </w:rPr>
        <w:t>’</w:t>
      </w:r>
      <w:r w:rsidRPr="000C331F">
        <w:rPr>
          <w:rFonts w:ascii="Times New Roman" w:eastAsia="Calibri" w:hAnsi="Times New Roman"/>
          <w:sz w:val="20"/>
        </w:rPr>
        <w:t xml:space="preserve">t 1970) (reversible error to ask jurors, in substance and effect, what they would want or what they would take for the discomfort, pain and suffering experienced); </w:t>
      </w:r>
      <w:r w:rsidRPr="000C331F">
        <w:rPr>
          <w:rFonts w:ascii="Times New Roman" w:eastAsia="Calibri" w:hAnsi="Times New Roman"/>
          <w:sz w:val="20"/>
          <w:u w:val="single"/>
        </w:rPr>
        <w:t>Weintraub v. Zabotinsky</w:t>
      </w:r>
      <w:r w:rsidRPr="000C331F">
        <w:rPr>
          <w:rFonts w:ascii="Times New Roman" w:eastAsia="Calibri" w:hAnsi="Times New Roman"/>
          <w:sz w:val="20"/>
        </w:rPr>
        <w:t>, 19 A.D.2d 906 (2d Dep</w:t>
      </w:r>
      <w:r>
        <w:rPr>
          <w:rFonts w:ascii="Times New Roman" w:eastAsia="Calibri" w:hAnsi="Times New Roman"/>
          <w:sz w:val="20"/>
        </w:rPr>
        <w:t>’</w:t>
      </w:r>
      <w:r w:rsidRPr="000C331F">
        <w:rPr>
          <w:rFonts w:ascii="Times New Roman" w:eastAsia="Calibri" w:hAnsi="Times New Roman"/>
          <w:sz w:val="20"/>
        </w:rPr>
        <w:t xml:space="preserve">t 1963); </w:t>
      </w:r>
      <w:r w:rsidRPr="000C331F">
        <w:rPr>
          <w:rFonts w:ascii="Times New Roman" w:eastAsia="Calibri" w:hAnsi="Times New Roman"/>
          <w:sz w:val="20"/>
          <w:u w:val="single"/>
        </w:rPr>
        <w:t>Callaghan v. A Lague Express</w:t>
      </w:r>
      <w:r w:rsidRPr="000C331F">
        <w:rPr>
          <w:rFonts w:ascii="Times New Roman" w:eastAsia="Calibri" w:hAnsi="Times New Roman"/>
          <w:sz w:val="20"/>
        </w:rPr>
        <w:t xml:space="preserve">, 298 F.2d 349, 350-51 (2d Cir. 1962) (court improperly allowed counsel to argue that the jury </w:t>
      </w:r>
      <w:r>
        <w:rPr>
          <w:rFonts w:ascii="Times New Roman" w:eastAsia="Calibri" w:hAnsi="Times New Roman"/>
          <w:sz w:val="20"/>
        </w:rPr>
        <w:t>“</w:t>
      </w:r>
      <w:r w:rsidRPr="000C331F">
        <w:rPr>
          <w:rFonts w:ascii="Times New Roman" w:eastAsia="Calibri" w:hAnsi="Times New Roman"/>
          <w:sz w:val="20"/>
        </w:rPr>
        <w:t>should treat [plaintiff] as you would like to be treated</w:t>
      </w:r>
      <w:r>
        <w:rPr>
          <w:rFonts w:ascii="Times New Roman" w:eastAsia="Calibri" w:hAnsi="Times New Roman"/>
          <w:sz w:val="20"/>
        </w:rPr>
        <w:t>”</w:t>
      </w:r>
      <w:r w:rsidRPr="000C331F">
        <w:rPr>
          <w:rFonts w:ascii="Times New Roman" w:eastAsia="Calibri" w:hAnsi="Times New Roman"/>
          <w:sz w:val="20"/>
        </w:rPr>
        <w:t>)</w:t>
      </w:r>
      <w:bookmarkEnd w:id="1"/>
      <w:r w:rsidRPr="000C331F">
        <w:rPr>
          <w:rFonts w:ascii="Times New Roman" w:eastAsia="Calibri" w:hAnsi="Times New Roman"/>
          <w:sz w:val="20"/>
        </w:rPr>
        <w:t xml:space="preserve">; </w:t>
      </w:r>
      <w:r w:rsidRPr="000C331F">
        <w:rPr>
          <w:rFonts w:ascii="Times New Roman" w:eastAsia="Calibri" w:hAnsi="Times New Roman"/>
          <w:sz w:val="20"/>
          <w:u w:val="single"/>
        </w:rPr>
        <w:t>Klotz v. Sears Roebuck &amp; Co</w:t>
      </w:r>
      <w:r w:rsidRPr="000C331F">
        <w:rPr>
          <w:rFonts w:ascii="Times New Roman" w:eastAsia="Calibri" w:hAnsi="Times New Roman"/>
          <w:sz w:val="20"/>
        </w:rPr>
        <w:t xml:space="preserve">., 267 F.2d 53, 54-55 (7th Cir. 1959) (such comments constitute a </w:t>
      </w:r>
      <w:r>
        <w:rPr>
          <w:rFonts w:ascii="Times New Roman" w:eastAsia="Calibri" w:hAnsi="Times New Roman"/>
          <w:sz w:val="20"/>
        </w:rPr>
        <w:t>“</w:t>
      </w:r>
      <w:r w:rsidRPr="000C331F">
        <w:rPr>
          <w:rFonts w:ascii="Times New Roman" w:eastAsia="Calibri" w:hAnsi="Times New Roman"/>
          <w:sz w:val="20"/>
        </w:rPr>
        <w:t xml:space="preserve">deliberate appeal to the jury to substitute sympathy for judgment); </w:t>
      </w:r>
      <w:r w:rsidRPr="000C331F">
        <w:rPr>
          <w:rFonts w:ascii="Times New Roman" w:eastAsia="Calibri" w:hAnsi="Times New Roman"/>
          <w:sz w:val="20"/>
          <w:u w:val="single"/>
        </w:rPr>
        <w:t>Conn v. Alfstad</w:t>
      </w:r>
      <w:r w:rsidRPr="000C331F">
        <w:rPr>
          <w:rFonts w:ascii="Times New Roman" w:eastAsia="Calibri" w:hAnsi="Times New Roman"/>
          <w:sz w:val="20"/>
        </w:rPr>
        <w:t xml:space="preserve">, 2011 Iowa App. LEXIS 1090, at *12 (Ct App Apr. 27, 2011, No. 10-1171); </w:t>
      </w:r>
      <w:r w:rsidRPr="000C331F">
        <w:rPr>
          <w:rFonts w:ascii="Times New Roman" w:eastAsia="Calibri" w:hAnsi="Times New Roman"/>
          <w:sz w:val="20"/>
          <w:u w:val="single"/>
        </w:rPr>
        <w:t>Johnson v. Colglazier</w:t>
      </w:r>
      <w:r w:rsidRPr="000C331F">
        <w:rPr>
          <w:rFonts w:ascii="Times New Roman" w:eastAsia="Calibri" w:hAnsi="Times New Roman"/>
          <w:sz w:val="20"/>
        </w:rPr>
        <w:t xml:space="preserve">, 348 F2d 420, 422 (5th Cir 1965); </w:t>
      </w:r>
      <w:r w:rsidRPr="00C84CA1">
        <w:rPr>
          <w:rFonts w:ascii="Times New Roman" w:eastAsia="Calibri" w:hAnsi="Times New Roman"/>
          <w:sz w:val="20"/>
          <w:u w:val="single"/>
        </w:rPr>
        <w:t>see generally</w:t>
      </w:r>
      <w:r w:rsidRPr="000C331F">
        <w:rPr>
          <w:rFonts w:ascii="Times New Roman" w:eastAsia="Calibri" w:hAnsi="Times New Roman"/>
          <w:sz w:val="20"/>
        </w:rPr>
        <w:t xml:space="preserve"> Annot: 96 A</w:t>
      </w:r>
      <w:r>
        <w:rPr>
          <w:rFonts w:ascii="Times New Roman" w:eastAsia="Calibri" w:hAnsi="Times New Roman"/>
          <w:sz w:val="20"/>
        </w:rPr>
        <w:t>L</w:t>
      </w:r>
      <w:r w:rsidRPr="000C331F">
        <w:rPr>
          <w:rFonts w:ascii="Times New Roman" w:eastAsia="Calibri" w:hAnsi="Times New Roman"/>
          <w:sz w:val="20"/>
        </w:rPr>
        <w:t>R2d 760; 22 Am Jur 2d, Damages, § 989, at 1029-1030.</w:t>
      </w:r>
    </w:p>
  </w:footnote>
  <w:footnote w:id="3">
    <w:p w14:paraId="1A802ED4" w14:textId="77777777" w:rsidR="00A04581" w:rsidRDefault="00A04581" w:rsidP="00A04581">
      <w:pPr>
        <w:pStyle w:val="FootnoteText"/>
        <w:jc w:val="both"/>
      </w:pPr>
      <w:r w:rsidRPr="006D5674">
        <w:rPr>
          <w:rStyle w:val="FootnoteReference"/>
          <w:rFonts w:eastAsiaTheme="majorEastAsia"/>
        </w:rPr>
        <w:footnoteRef/>
      </w:r>
      <w:r>
        <w:rPr>
          <w:u w:val="single"/>
        </w:rPr>
        <w:t xml:space="preserve"> </w:t>
      </w:r>
      <w:r w:rsidRPr="006D5674">
        <w:rPr>
          <w:u w:val="single"/>
        </w:rPr>
        <w:t>Lovett v. Union Pac. R.R. Co.</w:t>
      </w:r>
      <w:r w:rsidRPr="006D5674">
        <w:t>, 201 F.3d 1074, 1083 (8th Cir. 2000)</w:t>
      </w:r>
      <w:r>
        <w:t xml:space="preserve">, </w:t>
      </w:r>
      <w:r w:rsidRPr="006D5674">
        <w:t xml:space="preserve">quoting </w:t>
      </w:r>
      <w:r w:rsidRPr="006D5674">
        <w:rPr>
          <w:u w:val="single"/>
        </w:rPr>
        <w:t>Spray-Rite Serv. Corp. v. Monsanto Co.</w:t>
      </w:r>
      <w:r w:rsidRPr="006D5674">
        <w:t>, 684 F.2d 1226, 1246 (7th Cir. 1982)</w:t>
      </w:r>
      <w:r>
        <w:t xml:space="preserve">.  </w:t>
      </w:r>
      <w:r w:rsidRPr="006D5674">
        <w:t xml:space="preserve">Indeed, as one particularly sage jurist observed, </w:t>
      </w:r>
      <w:r>
        <w:t>“</w:t>
      </w:r>
      <w:r w:rsidRPr="006D5674">
        <w:t>there are admonitions to avoid that line of argumentation in every trial-advocacy book on the market.  See, e.g., Doug Norwood, Prosecutorial Misconduct in Closing Argument § 12.5 (2014) (</w:t>
      </w:r>
      <w:r>
        <w:t>“</w:t>
      </w:r>
      <w:r w:rsidRPr="006D5674">
        <w:t xml:space="preserve">Using the </w:t>
      </w:r>
      <w:r>
        <w:t>‘</w:t>
      </w:r>
      <w:r w:rsidRPr="006D5674">
        <w:t>Golden Rule</w:t>
      </w:r>
      <w:r>
        <w:t>’”</w:t>
      </w:r>
      <w:r w:rsidRPr="006D5674">
        <w:t xml:space="preserve">); Fred Lane, 4 Lane Goldstein Trial Technique § 23:33 (3d ed. 2014); 75A Am. Jur. 2d Trial § 547 (2015). </w:t>
      </w:r>
      <w:r>
        <w:t xml:space="preserve"> </w:t>
      </w:r>
      <w:r w:rsidRPr="006D5674">
        <w:t>Thus, the government</w:t>
      </w:r>
      <w:r>
        <w:t>’</w:t>
      </w:r>
      <w:r w:rsidRPr="006D5674">
        <w:t>s improper remarks were prejudicial, extensive, and deliberate.</w:t>
      </w:r>
      <w:r>
        <w:t xml:space="preserve">” </w:t>
      </w:r>
      <w:r w:rsidRPr="006D5674">
        <w:rPr>
          <w:i/>
          <w:iCs/>
        </w:rPr>
        <w:t>United States v. Carter</w:t>
      </w:r>
      <w:r w:rsidRPr="006D5674">
        <w:t>, 236 F.3d 777, 783 (6th Cir. 2001).</w:t>
      </w:r>
      <w:r>
        <w:t>”</w:t>
      </w:r>
      <w:r w:rsidRPr="006D5674">
        <w:t xml:space="preserve"> </w:t>
      </w:r>
      <w:r>
        <w:t xml:space="preserve"> </w:t>
      </w:r>
      <w:r w:rsidRPr="006D5674">
        <w:rPr>
          <w:u w:val="single"/>
        </w:rPr>
        <w:t>United States v. Poandl</w:t>
      </w:r>
      <w:r w:rsidRPr="006D5674">
        <w:t>, 612 F App</w:t>
      </w:r>
      <w:r>
        <w:t>’</w:t>
      </w:r>
      <w:r w:rsidRPr="006D5674">
        <w:t>x 356, 372-373 (6th Cir</w:t>
      </w:r>
      <w:r>
        <w:t>.</w:t>
      </w:r>
      <w:r w:rsidRPr="006D5674">
        <w:t xml:space="preserve"> 2015) </w:t>
      </w:r>
      <w:r>
        <w:t>(Dissenting Op.).</w:t>
      </w:r>
    </w:p>
    <w:p w14:paraId="5076B303" w14:textId="77777777" w:rsidR="004B3F83" w:rsidRPr="006002AE" w:rsidRDefault="004B3F83" w:rsidP="00A04581">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445D"/>
    <w:multiLevelType w:val="hybridMultilevel"/>
    <w:tmpl w:val="FD6CB3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6C6D52"/>
    <w:multiLevelType w:val="hybridMultilevel"/>
    <w:tmpl w:val="76BA4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74A94"/>
    <w:multiLevelType w:val="hybridMultilevel"/>
    <w:tmpl w:val="10F4D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95A4DB6"/>
    <w:multiLevelType w:val="hybridMultilevel"/>
    <w:tmpl w:val="883E170E"/>
    <w:lvl w:ilvl="0" w:tplc="F0CAFA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1697822">
    <w:abstractNumId w:val="2"/>
  </w:num>
  <w:num w:numId="2" w16cid:durableId="344286652">
    <w:abstractNumId w:val="1"/>
  </w:num>
  <w:num w:numId="3" w16cid:durableId="694844409">
    <w:abstractNumId w:val="0"/>
  </w:num>
  <w:num w:numId="4" w16cid:durableId="1251624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C1"/>
    <w:rsid w:val="00001A13"/>
    <w:rsid w:val="000030AF"/>
    <w:rsid w:val="000058ED"/>
    <w:rsid w:val="00011A78"/>
    <w:rsid w:val="0002272D"/>
    <w:rsid w:val="00023E72"/>
    <w:rsid w:val="00032D43"/>
    <w:rsid w:val="0003561B"/>
    <w:rsid w:val="00042C01"/>
    <w:rsid w:val="0005354D"/>
    <w:rsid w:val="00054C50"/>
    <w:rsid w:val="00055D69"/>
    <w:rsid w:val="000732AC"/>
    <w:rsid w:val="00080AE9"/>
    <w:rsid w:val="000859C7"/>
    <w:rsid w:val="00094139"/>
    <w:rsid w:val="000A4726"/>
    <w:rsid w:val="000C2E8B"/>
    <w:rsid w:val="000C75B4"/>
    <w:rsid w:val="000D0521"/>
    <w:rsid w:val="000E01E0"/>
    <w:rsid w:val="000E4923"/>
    <w:rsid w:val="001040BE"/>
    <w:rsid w:val="001115FB"/>
    <w:rsid w:val="001213F1"/>
    <w:rsid w:val="00123647"/>
    <w:rsid w:val="00125AC0"/>
    <w:rsid w:val="00125DEE"/>
    <w:rsid w:val="001330E4"/>
    <w:rsid w:val="001353AB"/>
    <w:rsid w:val="001363E3"/>
    <w:rsid w:val="001556E5"/>
    <w:rsid w:val="00157C50"/>
    <w:rsid w:val="00157E64"/>
    <w:rsid w:val="0016431F"/>
    <w:rsid w:val="001643A7"/>
    <w:rsid w:val="00170F28"/>
    <w:rsid w:val="00170FFB"/>
    <w:rsid w:val="00173D47"/>
    <w:rsid w:val="00174486"/>
    <w:rsid w:val="001815C3"/>
    <w:rsid w:val="001903A4"/>
    <w:rsid w:val="001A04CB"/>
    <w:rsid w:val="001A11C0"/>
    <w:rsid w:val="001A2375"/>
    <w:rsid w:val="001B03CC"/>
    <w:rsid w:val="001B2A12"/>
    <w:rsid w:val="001B7416"/>
    <w:rsid w:val="001C6200"/>
    <w:rsid w:val="001D6665"/>
    <w:rsid w:val="001E3B51"/>
    <w:rsid w:val="001E7731"/>
    <w:rsid w:val="001F2948"/>
    <w:rsid w:val="002018E7"/>
    <w:rsid w:val="00201F16"/>
    <w:rsid w:val="0020544E"/>
    <w:rsid w:val="002128D5"/>
    <w:rsid w:val="0021518C"/>
    <w:rsid w:val="00217299"/>
    <w:rsid w:val="00232F14"/>
    <w:rsid w:val="00233420"/>
    <w:rsid w:val="00240130"/>
    <w:rsid w:val="002404FB"/>
    <w:rsid w:val="00241513"/>
    <w:rsid w:val="002454A2"/>
    <w:rsid w:val="00246398"/>
    <w:rsid w:val="00250379"/>
    <w:rsid w:val="00252ACF"/>
    <w:rsid w:val="00253C3B"/>
    <w:rsid w:val="002659CB"/>
    <w:rsid w:val="002662BB"/>
    <w:rsid w:val="00273519"/>
    <w:rsid w:val="00276371"/>
    <w:rsid w:val="00284AC2"/>
    <w:rsid w:val="0029047A"/>
    <w:rsid w:val="00295435"/>
    <w:rsid w:val="00297030"/>
    <w:rsid w:val="002A489B"/>
    <w:rsid w:val="002C03DB"/>
    <w:rsid w:val="002C1D7E"/>
    <w:rsid w:val="002C3539"/>
    <w:rsid w:val="002C6C50"/>
    <w:rsid w:val="002D1720"/>
    <w:rsid w:val="002D67B3"/>
    <w:rsid w:val="002D7982"/>
    <w:rsid w:val="002E1A9C"/>
    <w:rsid w:val="002F358B"/>
    <w:rsid w:val="002F36A1"/>
    <w:rsid w:val="002F6F01"/>
    <w:rsid w:val="00301983"/>
    <w:rsid w:val="003034B6"/>
    <w:rsid w:val="003037E5"/>
    <w:rsid w:val="00307256"/>
    <w:rsid w:val="00341AE0"/>
    <w:rsid w:val="003511B7"/>
    <w:rsid w:val="00372A3D"/>
    <w:rsid w:val="0037611C"/>
    <w:rsid w:val="003861A6"/>
    <w:rsid w:val="00386FF9"/>
    <w:rsid w:val="003919A7"/>
    <w:rsid w:val="00392456"/>
    <w:rsid w:val="00395F08"/>
    <w:rsid w:val="003A5EE3"/>
    <w:rsid w:val="003B2F90"/>
    <w:rsid w:val="003B4F3B"/>
    <w:rsid w:val="003C1D65"/>
    <w:rsid w:val="003D1708"/>
    <w:rsid w:val="003D1F79"/>
    <w:rsid w:val="003D2D55"/>
    <w:rsid w:val="003D2DA0"/>
    <w:rsid w:val="003D6930"/>
    <w:rsid w:val="003E024E"/>
    <w:rsid w:val="003E152C"/>
    <w:rsid w:val="003E221C"/>
    <w:rsid w:val="003E3CAF"/>
    <w:rsid w:val="003E4F92"/>
    <w:rsid w:val="003F4E29"/>
    <w:rsid w:val="004002A2"/>
    <w:rsid w:val="00403AC3"/>
    <w:rsid w:val="00407C07"/>
    <w:rsid w:val="0041159E"/>
    <w:rsid w:val="00412747"/>
    <w:rsid w:val="00431F04"/>
    <w:rsid w:val="00432FDE"/>
    <w:rsid w:val="00434B27"/>
    <w:rsid w:val="0043641C"/>
    <w:rsid w:val="00442C62"/>
    <w:rsid w:val="00445444"/>
    <w:rsid w:val="004463A2"/>
    <w:rsid w:val="004509DB"/>
    <w:rsid w:val="00452EB9"/>
    <w:rsid w:val="00460735"/>
    <w:rsid w:val="00463A07"/>
    <w:rsid w:val="00464BFC"/>
    <w:rsid w:val="00465297"/>
    <w:rsid w:val="0046702A"/>
    <w:rsid w:val="00472889"/>
    <w:rsid w:val="004736B8"/>
    <w:rsid w:val="004759A4"/>
    <w:rsid w:val="00483098"/>
    <w:rsid w:val="004840CE"/>
    <w:rsid w:val="00484148"/>
    <w:rsid w:val="0049060B"/>
    <w:rsid w:val="00491ACF"/>
    <w:rsid w:val="004A0AE8"/>
    <w:rsid w:val="004A20C3"/>
    <w:rsid w:val="004A24DE"/>
    <w:rsid w:val="004A6D77"/>
    <w:rsid w:val="004B3F83"/>
    <w:rsid w:val="004B7F0A"/>
    <w:rsid w:val="004C14D8"/>
    <w:rsid w:val="004C2288"/>
    <w:rsid w:val="004C29C4"/>
    <w:rsid w:val="004C5E29"/>
    <w:rsid w:val="004D0D20"/>
    <w:rsid w:val="004D1A87"/>
    <w:rsid w:val="004F5D50"/>
    <w:rsid w:val="00510E9E"/>
    <w:rsid w:val="00510ED6"/>
    <w:rsid w:val="0052000A"/>
    <w:rsid w:val="0052676B"/>
    <w:rsid w:val="00531963"/>
    <w:rsid w:val="005322E4"/>
    <w:rsid w:val="005378F6"/>
    <w:rsid w:val="005402E4"/>
    <w:rsid w:val="00546743"/>
    <w:rsid w:val="00546E37"/>
    <w:rsid w:val="005503BD"/>
    <w:rsid w:val="0055358B"/>
    <w:rsid w:val="005553C2"/>
    <w:rsid w:val="0056227A"/>
    <w:rsid w:val="0056774E"/>
    <w:rsid w:val="00576D3B"/>
    <w:rsid w:val="00581285"/>
    <w:rsid w:val="005946BF"/>
    <w:rsid w:val="0059709B"/>
    <w:rsid w:val="005B53B4"/>
    <w:rsid w:val="005B69F4"/>
    <w:rsid w:val="005C145C"/>
    <w:rsid w:val="005D558D"/>
    <w:rsid w:val="005E6319"/>
    <w:rsid w:val="005F3FA2"/>
    <w:rsid w:val="006040B1"/>
    <w:rsid w:val="00607610"/>
    <w:rsid w:val="00620207"/>
    <w:rsid w:val="00623FBD"/>
    <w:rsid w:val="006250FA"/>
    <w:rsid w:val="006279BB"/>
    <w:rsid w:val="0063395A"/>
    <w:rsid w:val="006372C5"/>
    <w:rsid w:val="00642825"/>
    <w:rsid w:val="00647B05"/>
    <w:rsid w:val="0065133A"/>
    <w:rsid w:val="00661A4F"/>
    <w:rsid w:val="006656AB"/>
    <w:rsid w:val="006706C8"/>
    <w:rsid w:val="00671864"/>
    <w:rsid w:val="0068749A"/>
    <w:rsid w:val="00687CAE"/>
    <w:rsid w:val="00695827"/>
    <w:rsid w:val="006A2F38"/>
    <w:rsid w:val="006A30EF"/>
    <w:rsid w:val="006B3CEA"/>
    <w:rsid w:val="006B73E5"/>
    <w:rsid w:val="006D4E39"/>
    <w:rsid w:val="006F028C"/>
    <w:rsid w:val="006F3739"/>
    <w:rsid w:val="006F3B18"/>
    <w:rsid w:val="007045B4"/>
    <w:rsid w:val="00705A45"/>
    <w:rsid w:val="00712F96"/>
    <w:rsid w:val="00720417"/>
    <w:rsid w:val="00724F0A"/>
    <w:rsid w:val="00726EF7"/>
    <w:rsid w:val="00731C19"/>
    <w:rsid w:val="00743D6F"/>
    <w:rsid w:val="007457A4"/>
    <w:rsid w:val="00756B95"/>
    <w:rsid w:val="00760F5B"/>
    <w:rsid w:val="007637D2"/>
    <w:rsid w:val="0077017D"/>
    <w:rsid w:val="00782E8E"/>
    <w:rsid w:val="00784B1E"/>
    <w:rsid w:val="007859B7"/>
    <w:rsid w:val="007A7028"/>
    <w:rsid w:val="007B6857"/>
    <w:rsid w:val="007C2A4F"/>
    <w:rsid w:val="007C4DA5"/>
    <w:rsid w:val="007F084E"/>
    <w:rsid w:val="0080062F"/>
    <w:rsid w:val="00803D83"/>
    <w:rsid w:val="008067BA"/>
    <w:rsid w:val="008068E8"/>
    <w:rsid w:val="008075A2"/>
    <w:rsid w:val="0081273C"/>
    <w:rsid w:val="00812CCD"/>
    <w:rsid w:val="0082098F"/>
    <w:rsid w:val="00822F18"/>
    <w:rsid w:val="00826B1E"/>
    <w:rsid w:val="00827125"/>
    <w:rsid w:val="00832D81"/>
    <w:rsid w:val="008346B4"/>
    <w:rsid w:val="00836AAE"/>
    <w:rsid w:val="00840E00"/>
    <w:rsid w:val="008411A0"/>
    <w:rsid w:val="00845AD1"/>
    <w:rsid w:val="00846E2E"/>
    <w:rsid w:val="00847B18"/>
    <w:rsid w:val="00847F46"/>
    <w:rsid w:val="0085215F"/>
    <w:rsid w:val="008570B8"/>
    <w:rsid w:val="00861226"/>
    <w:rsid w:val="00870342"/>
    <w:rsid w:val="00877FBB"/>
    <w:rsid w:val="008803EF"/>
    <w:rsid w:val="00887EC2"/>
    <w:rsid w:val="008A3FE2"/>
    <w:rsid w:val="008C16CF"/>
    <w:rsid w:val="008D5ED5"/>
    <w:rsid w:val="008F38D4"/>
    <w:rsid w:val="008F4244"/>
    <w:rsid w:val="008F4D51"/>
    <w:rsid w:val="009041DB"/>
    <w:rsid w:val="00906EDF"/>
    <w:rsid w:val="0090731E"/>
    <w:rsid w:val="009100C1"/>
    <w:rsid w:val="00916129"/>
    <w:rsid w:val="00916389"/>
    <w:rsid w:val="00932C8D"/>
    <w:rsid w:val="00936976"/>
    <w:rsid w:val="00940129"/>
    <w:rsid w:val="009426F9"/>
    <w:rsid w:val="00952120"/>
    <w:rsid w:val="009556FF"/>
    <w:rsid w:val="00962128"/>
    <w:rsid w:val="009630B9"/>
    <w:rsid w:val="00963CB1"/>
    <w:rsid w:val="00964C09"/>
    <w:rsid w:val="00966C3A"/>
    <w:rsid w:val="00971F96"/>
    <w:rsid w:val="00973D1D"/>
    <w:rsid w:val="00982BCD"/>
    <w:rsid w:val="00987CBA"/>
    <w:rsid w:val="009918E8"/>
    <w:rsid w:val="00991DEB"/>
    <w:rsid w:val="009934E6"/>
    <w:rsid w:val="009937BC"/>
    <w:rsid w:val="00993CD6"/>
    <w:rsid w:val="009A05AE"/>
    <w:rsid w:val="009A0DB8"/>
    <w:rsid w:val="009A12D7"/>
    <w:rsid w:val="009A1E0A"/>
    <w:rsid w:val="009A449F"/>
    <w:rsid w:val="009A7D60"/>
    <w:rsid w:val="009B1D70"/>
    <w:rsid w:val="009C222B"/>
    <w:rsid w:val="009C2E58"/>
    <w:rsid w:val="009C7DD3"/>
    <w:rsid w:val="009D1DEB"/>
    <w:rsid w:val="009D3A08"/>
    <w:rsid w:val="009D5621"/>
    <w:rsid w:val="009D70C5"/>
    <w:rsid w:val="009E48CA"/>
    <w:rsid w:val="009F135D"/>
    <w:rsid w:val="009F269B"/>
    <w:rsid w:val="009F77E1"/>
    <w:rsid w:val="00A0269A"/>
    <w:rsid w:val="00A04581"/>
    <w:rsid w:val="00A069EB"/>
    <w:rsid w:val="00A0731F"/>
    <w:rsid w:val="00A10AB6"/>
    <w:rsid w:val="00A131F9"/>
    <w:rsid w:val="00A14BC6"/>
    <w:rsid w:val="00A15E06"/>
    <w:rsid w:val="00A24A7C"/>
    <w:rsid w:val="00A25845"/>
    <w:rsid w:val="00A2735E"/>
    <w:rsid w:val="00A32569"/>
    <w:rsid w:val="00A34049"/>
    <w:rsid w:val="00A40A1A"/>
    <w:rsid w:val="00A50669"/>
    <w:rsid w:val="00A50E0F"/>
    <w:rsid w:val="00A51259"/>
    <w:rsid w:val="00A52F6A"/>
    <w:rsid w:val="00A55F3F"/>
    <w:rsid w:val="00A631E2"/>
    <w:rsid w:val="00A64CE6"/>
    <w:rsid w:val="00A70148"/>
    <w:rsid w:val="00A72C52"/>
    <w:rsid w:val="00A7427F"/>
    <w:rsid w:val="00A7676C"/>
    <w:rsid w:val="00A7691E"/>
    <w:rsid w:val="00A81043"/>
    <w:rsid w:val="00A92F12"/>
    <w:rsid w:val="00A94901"/>
    <w:rsid w:val="00AA32C0"/>
    <w:rsid w:val="00AB0B06"/>
    <w:rsid w:val="00AB7417"/>
    <w:rsid w:val="00AC1EB0"/>
    <w:rsid w:val="00AE0DFC"/>
    <w:rsid w:val="00AE6512"/>
    <w:rsid w:val="00AE79A2"/>
    <w:rsid w:val="00AF0A70"/>
    <w:rsid w:val="00AF5F8E"/>
    <w:rsid w:val="00B07EE9"/>
    <w:rsid w:val="00B11488"/>
    <w:rsid w:val="00B14D89"/>
    <w:rsid w:val="00B220D6"/>
    <w:rsid w:val="00B30D3B"/>
    <w:rsid w:val="00B37F5B"/>
    <w:rsid w:val="00B4308C"/>
    <w:rsid w:val="00B70509"/>
    <w:rsid w:val="00B74A9A"/>
    <w:rsid w:val="00B753D5"/>
    <w:rsid w:val="00B830FE"/>
    <w:rsid w:val="00B91892"/>
    <w:rsid w:val="00B91E54"/>
    <w:rsid w:val="00B93EFD"/>
    <w:rsid w:val="00B953B1"/>
    <w:rsid w:val="00BA28E1"/>
    <w:rsid w:val="00BA5343"/>
    <w:rsid w:val="00BB2A21"/>
    <w:rsid w:val="00BB2C9D"/>
    <w:rsid w:val="00BB7226"/>
    <w:rsid w:val="00BC5305"/>
    <w:rsid w:val="00BC7057"/>
    <w:rsid w:val="00BE0208"/>
    <w:rsid w:val="00BE739E"/>
    <w:rsid w:val="00BF0B5D"/>
    <w:rsid w:val="00BF17E7"/>
    <w:rsid w:val="00BF79A0"/>
    <w:rsid w:val="00C227E8"/>
    <w:rsid w:val="00C26517"/>
    <w:rsid w:val="00C32ACF"/>
    <w:rsid w:val="00C419CF"/>
    <w:rsid w:val="00C4228C"/>
    <w:rsid w:val="00C4429F"/>
    <w:rsid w:val="00C51CFC"/>
    <w:rsid w:val="00C51E80"/>
    <w:rsid w:val="00C54EA3"/>
    <w:rsid w:val="00C60492"/>
    <w:rsid w:val="00C70A98"/>
    <w:rsid w:val="00C720F4"/>
    <w:rsid w:val="00C749AC"/>
    <w:rsid w:val="00C82697"/>
    <w:rsid w:val="00C92272"/>
    <w:rsid w:val="00C9263A"/>
    <w:rsid w:val="00C94BC8"/>
    <w:rsid w:val="00CD164F"/>
    <w:rsid w:val="00CD1B6C"/>
    <w:rsid w:val="00CD5474"/>
    <w:rsid w:val="00CE0C66"/>
    <w:rsid w:val="00CE1010"/>
    <w:rsid w:val="00CE4F8E"/>
    <w:rsid w:val="00CE5AE6"/>
    <w:rsid w:val="00CE6212"/>
    <w:rsid w:val="00CF0955"/>
    <w:rsid w:val="00CF73B2"/>
    <w:rsid w:val="00D0110D"/>
    <w:rsid w:val="00D01AAB"/>
    <w:rsid w:val="00D02698"/>
    <w:rsid w:val="00D052EF"/>
    <w:rsid w:val="00D1321A"/>
    <w:rsid w:val="00D17C52"/>
    <w:rsid w:val="00D2582C"/>
    <w:rsid w:val="00D363E2"/>
    <w:rsid w:val="00D406DC"/>
    <w:rsid w:val="00D43D11"/>
    <w:rsid w:val="00D46294"/>
    <w:rsid w:val="00D63057"/>
    <w:rsid w:val="00D643F8"/>
    <w:rsid w:val="00D66F1C"/>
    <w:rsid w:val="00D80842"/>
    <w:rsid w:val="00D80B97"/>
    <w:rsid w:val="00D8469F"/>
    <w:rsid w:val="00D966F2"/>
    <w:rsid w:val="00DA1EC7"/>
    <w:rsid w:val="00DA3E33"/>
    <w:rsid w:val="00DA7A5E"/>
    <w:rsid w:val="00DC01E7"/>
    <w:rsid w:val="00DC315E"/>
    <w:rsid w:val="00DD67DA"/>
    <w:rsid w:val="00DD77AF"/>
    <w:rsid w:val="00DE0931"/>
    <w:rsid w:val="00DE1891"/>
    <w:rsid w:val="00DF39AD"/>
    <w:rsid w:val="00DF5BF3"/>
    <w:rsid w:val="00E0452C"/>
    <w:rsid w:val="00E04B7A"/>
    <w:rsid w:val="00E160C6"/>
    <w:rsid w:val="00E16D90"/>
    <w:rsid w:val="00E17236"/>
    <w:rsid w:val="00E22749"/>
    <w:rsid w:val="00E31846"/>
    <w:rsid w:val="00E33C43"/>
    <w:rsid w:val="00E44898"/>
    <w:rsid w:val="00E47F9B"/>
    <w:rsid w:val="00E73D5B"/>
    <w:rsid w:val="00E960DF"/>
    <w:rsid w:val="00EA2094"/>
    <w:rsid w:val="00EB0259"/>
    <w:rsid w:val="00EC1073"/>
    <w:rsid w:val="00EC2264"/>
    <w:rsid w:val="00EE60CE"/>
    <w:rsid w:val="00EE79D2"/>
    <w:rsid w:val="00F003CF"/>
    <w:rsid w:val="00F04DC1"/>
    <w:rsid w:val="00F07036"/>
    <w:rsid w:val="00F203F1"/>
    <w:rsid w:val="00F22202"/>
    <w:rsid w:val="00F25376"/>
    <w:rsid w:val="00F263AD"/>
    <w:rsid w:val="00F27597"/>
    <w:rsid w:val="00F312D6"/>
    <w:rsid w:val="00F47390"/>
    <w:rsid w:val="00F631E3"/>
    <w:rsid w:val="00F66087"/>
    <w:rsid w:val="00F67403"/>
    <w:rsid w:val="00F73CD7"/>
    <w:rsid w:val="00F759F2"/>
    <w:rsid w:val="00F83996"/>
    <w:rsid w:val="00F87D1A"/>
    <w:rsid w:val="00F90E96"/>
    <w:rsid w:val="00FA36CB"/>
    <w:rsid w:val="00FA7D91"/>
    <w:rsid w:val="00FB0EC2"/>
    <w:rsid w:val="00FB68D8"/>
    <w:rsid w:val="00FC1984"/>
    <w:rsid w:val="00FD7BDB"/>
    <w:rsid w:val="00FE5AAB"/>
    <w:rsid w:val="00FE7BB8"/>
    <w:rsid w:val="00FE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2E102"/>
  <w15:chartTrackingRefBased/>
  <w15:docId w15:val="{5C1536AB-032E-41C4-B649-02460703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DC1"/>
    <w:pPr>
      <w:spacing w:line="256" w:lineRule="auto"/>
    </w:pPr>
  </w:style>
  <w:style w:type="paragraph" w:styleId="Heading1">
    <w:name w:val="heading 1"/>
    <w:basedOn w:val="Normal"/>
    <w:next w:val="Normal"/>
    <w:link w:val="Heading1Char"/>
    <w:uiPriority w:val="9"/>
    <w:qFormat/>
    <w:rsid w:val="00F04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D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D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D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D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D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D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D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D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D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D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D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D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D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D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D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DC1"/>
    <w:rPr>
      <w:rFonts w:eastAsiaTheme="majorEastAsia" w:cstheme="majorBidi"/>
      <w:color w:val="272727" w:themeColor="text1" w:themeTint="D8"/>
    </w:rPr>
  </w:style>
  <w:style w:type="paragraph" w:styleId="Title">
    <w:name w:val="Title"/>
    <w:basedOn w:val="Normal"/>
    <w:next w:val="Normal"/>
    <w:link w:val="TitleChar"/>
    <w:uiPriority w:val="10"/>
    <w:qFormat/>
    <w:rsid w:val="00F04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D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D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DC1"/>
    <w:pPr>
      <w:spacing w:before="160"/>
      <w:jc w:val="center"/>
    </w:pPr>
    <w:rPr>
      <w:i/>
      <w:iCs/>
      <w:color w:val="404040" w:themeColor="text1" w:themeTint="BF"/>
    </w:rPr>
  </w:style>
  <w:style w:type="character" w:customStyle="1" w:styleId="QuoteChar">
    <w:name w:val="Quote Char"/>
    <w:basedOn w:val="DefaultParagraphFont"/>
    <w:link w:val="Quote"/>
    <w:uiPriority w:val="29"/>
    <w:rsid w:val="00F04DC1"/>
    <w:rPr>
      <w:i/>
      <w:iCs/>
      <w:color w:val="404040" w:themeColor="text1" w:themeTint="BF"/>
    </w:rPr>
  </w:style>
  <w:style w:type="paragraph" w:styleId="ListParagraph">
    <w:name w:val="List Paragraph"/>
    <w:basedOn w:val="Normal"/>
    <w:uiPriority w:val="34"/>
    <w:qFormat/>
    <w:rsid w:val="00F04DC1"/>
    <w:pPr>
      <w:ind w:left="720"/>
      <w:contextualSpacing/>
    </w:pPr>
  </w:style>
  <w:style w:type="character" w:styleId="IntenseEmphasis">
    <w:name w:val="Intense Emphasis"/>
    <w:basedOn w:val="DefaultParagraphFont"/>
    <w:uiPriority w:val="21"/>
    <w:qFormat/>
    <w:rsid w:val="00F04DC1"/>
    <w:rPr>
      <w:i/>
      <w:iCs/>
      <w:color w:val="0F4761" w:themeColor="accent1" w:themeShade="BF"/>
    </w:rPr>
  </w:style>
  <w:style w:type="paragraph" w:styleId="IntenseQuote">
    <w:name w:val="Intense Quote"/>
    <w:basedOn w:val="Normal"/>
    <w:next w:val="Normal"/>
    <w:link w:val="IntenseQuoteChar"/>
    <w:uiPriority w:val="30"/>
    <w:qFormat/>
    <w:rsid w:val="00F04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DC1"/>
    <w:rPr>
      <w:i/>
      <w:iCs/>
      <w:color w:val="0F4761" w:themeColor="accent1" w:themeShade="BF"/>
    </w:rPr>
  </w:style>
  <w:style w:type="character" w:styleId="IntenseReference">
    <w:name w:val="Intense Reference"/>
    <w:basedOn w:val="DefaultParagraphFont"/>
    <w:uiPriority w:val="32"/>
    <w:qFormat/>
    <w:rsid w:val="00F04DC1"/>
    <w:rPr>
      <w:b/>
      <w:bCs/>
      <w:smallCaps/>
      <w:color w:val="0F4761" w:themeColor="accent1" w:themeShade="BF"/>
      <w:spacing w:val="5"/>
    </w:rPr>
  </w:style>
  <w:style w:type="paragraph" w:styleId="FootnoteText">
    <w:name w:val="footnote text"/>
    <w:basedOn w:val="Normal"/>
    <w:link w:val="FootnoteTextChar"/>
    <w:uiPriority w:val="99"/>
    <w:unhideWhenUsed/>
    <w:rsid w:val="00F04DC1"/>
    <w:pPr>
      <w:spacing w:after="0" w:line="240" w:lineRule="auto"/>
    </w:pPr>
    <w:rPr>
      <w:rFonts w:ascii="Times New Roman" w:eastAsia="Times New Roman" w:hAnsi="Times New Roman" w:cs="Times New Roman"/>
      <w:kern w:val="0"/>
      <w:sz w:val="20"/>
      <w:szCs w:val="20"/>
    </w:rPr>
  </w:style>
  <w:style w:type="character" w:customStyle="1" w:styleId="FootnoteTextChar">
    <w:name w:val="Footnote Text Char"/>
    <w:basedOn w:val="DefaultParagraphFont"/>
    <w:link w:val="FootnoteText"/>
    <w:uiPriority w:val="99"/>
    <w:rsid w:val="00F04DC1"/>
    <w:rPr>
      <w:rFonts w:ascii="Times New Roman" w:eastAsia="Times New Roman" w:hAnsi="Times New Roman" w:cs="Times New Roman"/>
      <w:kern w:val="0"/>
      <w:sz w:val="20"/>
      <w:szCs w:val="20"/>
    </w:rPr>
  </w:style>
  <w:style w:type="character" w:styleId="FootnoteReference">
    <w:name w:val="footnote reference"/>
    <w:basedOn w:val="DefaultParagraphFont"/>
    <w:uiPriority w:val="99"/>
    <w:unhideWhenUsed/>
    <w:rsid w:val="00F04DC1"/>
    <w:rPr>
      <w:vertAlign w:val="superscript"/>
    </w:rPr>
  </w:style>
  <w:style w:type="character" w:styleId="CommentReference">
    <w:name w:val="annotation reference"/>
    <w:basedOn w:val="DefaultParagraphFont"/>
    <w:uiPriority w:val="99"/>
    <w:semiHidden/>
    <w:unhideWhenUsed/>
    <w:rsid w:val="005D558D"/>
    <w:rPr>
      <w:sz w:val="16"/>
      <w:szCs w:val="16"/>
    </w:rPr>
  </w:style>
  <w:style w:type="paragraph" w:styleId="CommentText">
    <w:name w:val="annotation text"/>
    <w:basedOn w:val="Normal"/>
    <w:link w:val="CommentTextChar"/>
    <w:uiPriority w:val="99"/>
    <w:unhideWhenUsed/>
    <w:rsid w:val="005D558D"/>
    <w:pPr>
      <w:spacing w:line="240" w:lineRule="auto"/>
    </w:pPr>
    <w:rPr>
      <w:sz w:val="20"/>
      <w:szCs w:val="20"/>
    </w:rPr>
  </w:style>
  <w:style w:type="character" w:customStyle="1" w:styleId="CommentTextChar">
    <w:name w:val="Comment Text Char"/>
    <w:basedOn w:val="DefaultParagraphFont"/>
    <w:link w:val="CommentText"/>
    <w:uiPriority w:val="99"/>
    <w:rsid w:val="005D558D"/>
    <w:rPr>
      <w:sz w:val="20"/>
      <w:szCs w:val="20"/>
    </w:rPr>
  </w:style>
  <w:style w:type="paragraph" w:styleId="CommentSubject">
    <w:name w:val="annotation subject"/>
    <w:basedOn w:val="CommentText"/>
    <w:next w:val="CommentText"/>
    <w:link w:val="CommentSubjectChar"/>
    <w:uiPriority w:val="99"/>
    <w:semiHidden/>
    <w:unhideWhenUsed/>
    <w:rsid w:val="005D558D"/>
    <w:rPr>
      <w:b/>
      <w:bCs/>
    </w:rPr>
  </w:style>
  <w:style w:type="character" w:customStyle="1" w:styleId="CommentSubjectChar">
    <w:name w:val="Comment Subject Char"/>
    <w:basedOn w:val="CommentTextChar"/>
    <w:link w:val="CommentSubject"/>
    <w:uiPriority w:val="99"/>
    <w:semiHidden/>
    <w:rsid w:val="005D558D"/>
    <w:rPr>
      <w:b/>
      <w:bCs/>
      <w:sz w:val="20"/>
      <w:szCs w:val="20"/>
    </w:rPr>
  </w:style>
  <w:style w:type="character" w:styleId="Hyperlink">
    <w:name w:val="Hyperlink"/>
    <w:basedOn w:val="DefaultParagraphFont"/>
    <w:uiPriority w:val="99"/>
    <w:unhideWhenUsed/>
    <w:rsid w:val="002C03DB"/>
    <w:rPr>
      <w:color w:val="467886" w:themeColor="hyperlink"/>
      <w:u w:val="single"/>
    </w:rPr>
  </w:style>
  <w:style w:type="character" w:styleId="UnresolvedMention">
    <w:name w:val="Unresolved Mention"/>
    <w:basedOn w:val="DefaultParagraphFont"/>
    <w:uiPriority w:val="99"/>
    <w:semiHidden/>
    <w:unhideWhenUsed/>
    <w:rsid w:val="002C03DB"/>
    <w:rPr>
      <w:color w:val="605E5C"/>
      <w:shd w:val="clear" w:color="auto" w:fill="E1DFDD"/>
    </w:rPr>
  </w:style>
  <w:style w:type="paragraph" w:styleId="Header">
    <w:name w:val="header"/>
    <w:basedOn w:val="Normal"/>
    <w:link w:val="HeaderChar"/>
    <w:uiPriority w:val="99"/>
    <w:unhideWhenUsed/>
    <w:rsid w:val="00BE7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39E"/>
  </w:style>
  <w:style w:type="paragraph" w:styleId="Footer">
    <w:name w:val="footer"/>
    <w:basedOn w:val="Normal"/>
    <w:link w:val="FooterChar"/>
    <w:uiPriority w:val="99"/>
    <w:unhideWhenUsed/>
    <w:rsid w:val="00BE7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39E"/>
  </w:style>
  <w:style w:type="paragraph" w:styleId="Revision">
    <w:name w:val="Revision"/>
    <w:hidden/>
    <w:uiPriority w:val="99"/>
    <w:semiHidden/>
    <w:rsid w:val="00A72C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8247">
      <w:bodyDiv w:val="1"/>
      <w:marLeft w:val="0"/>
      <w:marRight w:val="0"/>
      <w:marTop w:val="0"/>
      <w:marBottom w:val="0"/>
      <w:divBdr>
        <w:top w:val="none" w:sz="0" w:space="0" w:color="auto"/>
        <w:left w:val="none" w:sz="0" w:space="0" w:color="auto"/>
        <w:bottom w:val="none" w:sz="0" w:space="0" w:color="auto"/>
        <w:right w:val="none" w:sz="0" w:space="0" w:color="auto"/>
      </w:divBdr>
      <w:divsChild>
        <w:div w:id="2116052359">
          <w:marLeft w:val="0"/>
          <w:marRight w:val="0"/>
          <w:marTop w:val="0"/>
          <w:marBottom w:val="0"/>
          <w:divBdr>
            <w:top w:val="none" w:sz="0" w:space="0" w:color="auto"/>
            <w:left w:val="none" w:sz="0" w:space="0" w:color="auto"/>
            <w:bottom w:val="none" w:sz="0" w:space="0" w:color="auto"/>
            <w:right w:val="none" w:sz="0" w:space="0" w:color="auto"/>
          </w:divBdr>
        </w:div>
      </w:divsChild>
    </w:div>
    <w:div w:id="1339194856">
      <w:bodyDiv w:val="1"/>
      <w:marLeft w:val="0"/>
      <w:marRight w:val="0"/>
      <w:marTop w:val="0"/>
      <w:marBottom w:val="0"/>
      <w:divBdr>
        <w:top w:val="none" w:sz="0" w:space="0" w:color="auto"/>
        <w:left w:val="none" w:sz="0" w:space="0" w:color="auto"/>
        <w:bottom w:val="none" w:sz="0" w:space="0" w:color="auto"/>
        <w:right w:val="none" w:sz="0" w:space="0" w:color="auto"/>
      </w:divBdr>
    </w:div>
    <w:div w:id="1879587222">
      <w:bodyDiv w:val="1"/>
      <w:marLeft w:val="0"/>
      <w:marRight w:val="0"/>
      <w:marTop w:val="0"/>
      <w:marBottom w:val="0"/>
      <w:divBdr>
        <w:top w:val="none" w:sz="0" w:space="0" w:color="auto"/>
        <w:left w:val="none" w:sz="0" w:space="0" w:color="auto"/>
        <w:bottom w:val="none" w:sz="0" w:space="0" w:color="auto"/>
        <w:right w:val="none" w:sz="0" w:space="0" w:color="auto"/>
      </w:divBdr>
      <w:divsChild>
        <w:div w:id="812020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0D315116AF08498EB5DAEE8AD89C66" ma:contentTypeVersion="5" ma:contentTypeDescription="Create a new document." ma:contentTypeScope="" ma:versionID="b515a544ef48ab0651906b71a24dd33e">
  <xsd:schema xmlns:xsd="http://www.w3.org/2001/XMLSchema" xmlns:xs="http://www.w3.org/2001/XMLSchema" xmlns:p="http://schemas.microsoft.com/office/2006/metadata/properties" xmlns:ns3="8b23216a-5350-4507-ae5a-0c050c6c9bdd" targetNamespace="http://schemas.microsoft.com/office/2006/metadata/properties" ma:root="true" ma:fieldsID="9f8a3f2a3003fef02d7639384815523b" ns3:_="">
    <xsd:import namespace="8b23216a-5350-4507-ae5a-0c050c6c9bd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3216a-5350-4507-ae5a-0c050c6c9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b23216a-5350-4507-ae5a-0c050c6c9bdd" xsi:nil="true"/>
  </documentManagement>
</p:properties>
</file>

<file path=customXml/itemProps1.xml><?xml version="1.0" encoding="utf-8"?>
<ds:datastoreItem xmlns:ds="http://schemas.openxmlformats.org/officeDocument/2006/customXml" ds:itemID="{ABAAD7B5-54C6-48A6-AEEE-CB805A84075F}">
  <ds:schemaRefs>
    <ds:schemaRef ds:uri="http://schemas.openxmlformats.org/officeDocument/2006/bibliography"/>
  </ds:schemaRefs>
</ds:datastoreItem>
</file>

<file path=customXml/itemProps2.xml><?xml version="1.0" encoding="utf-8"?>
<ds:datastoreItem xmlns:ds="http://schemas.openxmlformats.org/officeDocument/2006/customXml" ds:itemID="{C83E2FA5-D674-4F83-B85B-E46EEDC44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3216a-5350-4507-ae5a-0c050c6c9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2241AA-046E-4E95-A47A-5D2A42F9F6E8}">
  <ds:schemaRefs>
    <ds:schemaRef ds:uri="http://schemas.microsoft.com/sharepoint/v3/contenttype/forms"/>
  </ds:schemaRefs>
</ds:datastoreItem>
</file>

<file path=customXml/itemProps4.xml><?xml version="1.0" encoding="utf-8"?>
<ds:datastoreItem xmlns:ds="http://schemas.openxmlformats.org/officeDocument/2006/customXml" ds:itemID="{1CD79FE8-5061-4CF6-88EC-8A9FB7DEEA2E}">
  <ds:schemaRefs>
    <ds:schemaRef ds:uri="http://schemas.microsoft.com/office/2006/metadata/properties"/>
    <ds:schemaRef ds:uri="http://schemas.microsoft.com/office/infopath/2007/PartnerControls"/>
    <ds:schemaRef ds:uri="8b23216a-5350-4507-ae5a-0c050c6c9bd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757</Words>
  <Characters>3955</Characters>
  <Application>Microsoft Office Word</Application>
  <DocSecurity>0</DocSecurity>
  <Lines>171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Pavlini, Esq.</dc:creator>
  <cp:keywords/>
  <dc:description/>
  <cp:lastModifiedBy>Christopher Theobalt, Esq.</cp:lastModifiedBy>
  <cp:revision>80</cp:revision>
  <dcterms:created xsi:type="dcterms:W3CDTF">2025-05-19T22:21:00Z</dcterms:created>
  <dcterms:modified xsi:type="dcterms:W3CDTF">2025-05-19T22:55:00Z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0x010100460D315116AF08498EB5DAEE8AD89C66</vt:lpwstr>
  </property>
</Properties>
</file>