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35A8" w14:textId="3B57CB97" w:rsidR="00A70148" w:rsidRPr="00620207" w:rsidRDefault="0055686C" w:rsidP="008D16EE">
      <w:pPr>
        <w:spacing w:after="0" w:line="240" w:lineRule="auto"/>
        <w:jc w:val="center"/>
        <w:rPr>
          <w:rFonts w:ascii="Times New Roman" w:hAnsi="Times New Roman" w:cs="Times New Roman"/>
          <w:bCs/>
          <w:kern w:val="0"/>
          <w:sz w:val="24"/>
          <w:szCs w:val="24"/>
          <w14:ligatures w14:val="none"/>
        </w:rPr>
      </w:pPr>
      <w:r>
        <w:rPr>
          <w:rFonts w:ascii="Times New Roman" w:hAnsi="Times New Roman" w:cs="Times New Roman"/>
          <w:bCs/>
          <w:kern w:val="0"/>
          <w:sz w:val="24"/>
          <w:szCs w:val="24"/>
          <w14:ligatures w14:val="none"/>
        </w:rPr>
        <w:t xml:space="preserve">DEFENDANT’S </w:t>
      </w:r>
      <w:r w:rsidR="00F04DC1" w:rsidRPr="00620207">
        <w:rPr>
          <w:rFonts w:ascii="Times New Roman" w:hAnsi="Times New Roman" w:cs="Times New Roman"/>
          <w:bCs/>
          <w:kern w:val="0"/>
          <w:sz w:val="24"/>
          <w:szCs w:val="24"/>
          <w14:ligatures w14:val="none"/>
        </w:rPr>
        <w:t xml:space="preserve">PRE-TRIAL MOTION </w:t>
      </w:r>
      <w:r w:rsidR="00F04DC1" w:rsidRPr="00620207">
        <w:rPr>
          <w:rFonts w:ascii="Times New Roman" w:hAnsi="Times New Roman" w:cs="Times New Roman"/>
          <w:bCs/>
          <w:i/>
          <w:kern w:val="0"/>
          <w:sz w:val="24"/>
          <w:szCs w:val="24"/>
          <w14:ligatures w14:val="none"/>
        </w:rPr>
        <w:t>IN LIMINE</w:t>
      </w:r>
      <w:r w:rsidR="00F04DC1" w:rsidRPr="00620207">
        <w:rPr>
          <w:rFonts w:ascii="Times New Roman" w:hAnsi="Times New Roman" w:cs="Times New Roman"/>
          <w:bCs/>
          <w:kern w:val="0"/>
          <w:sz w:val="24"/>
          <w:szCs w:val="24"/>
          <w14:ligatures w14:val="none"/>
        </w:rPr>
        <w:t xml:space="preserve"> TO </w:t>
      </w:r>
      <w:r w:rsidR="00DE5126">
        <w:rPr>
          <w:rFonts w:ascii="Times New Roman" w:hAnsi="Times New Roman" w:cs="Times New Roman"/>
          <w:bCs/>
          <w:kern w:val="0"/>
          <w:sz w:val="24"/>
          <w:szCs w:val="24"/>
          <w14:ligatures w14:val="none"/>
        </w:rPr>
        <w:t>PROHIBIT ARGUMENTS IMPLICATING COMMUNITY SAFETY</w:t>
      </w:r>
    </w:p>
    <w:p w14:paraId="40D266FB" w14:textId="77777777" w:rsidR="00A70148" w:rsidRPr="00620207" w:rsidRDefault="00A70148" w:rsidP="008D16EE">
      <w:pPr>
        <w:spacing w:after="0" w:line="240" w:lineRule="auto"/>
        <w:jc w:val="center"/>
        <w:rPr>
          <w:rFonts w:ascii="Times New Roman" w:hAnsi="Times New Roman" w:cs="Times New Roman"/>
          <w:bCs/>
          <w:kern w:val="0"/>
          <w:sz w:val="24"/>
          <w:szCs w:val="24"/>
          <w14:ligatures w14:val="none"/>
        </w:rPr>
      </w:pPr>
    </w:p>
    <w:p w14:paraId="3A549D91" w14:textId="77777777" w:rsidR="00F04DC1" w:rsidRPr="00620207" w:rsidRDefault="00F04DC1" w:rsidP="008D16EE">
      <w:pPr>
        <w:spacing w:after="0" w:line="240" w:lineRule="auto"/>
        <w:contextualSpacing/>
        <w:jc w:val="both"/>
        <w:rPr>
          <w:rFonts w:ascii="Times New Roman" w:hAnsi="Times New Roman" w:cs="Times New Roman"/>
          <w:b/>
          <w:sz w:val="24"/>
          <w:szCs w:val="24"/>
        </w:rPr>
      </w:pPr>
    </w:p>
    <w:p w14:paraId="0C1D64F6" w14:textId="77777777" w:rsidR="00F04DC1" w:rsidRPr="00620207" w:rsidRDefault="00F04DC1" w:rsidP="008D16EE">
      <w:pPr>
        <w:spacing w:after="0" w:line="240" w:lineRule="auto"/>
        <w:ind w:left="4320"/>
        <w:contextualSpacing/>
        <w:rPr>
          <w:rFonts w:ascii="Times New Roman" w:eastAsia="Calibri" w:hAnsi="Times New Roman" w:cs="Times New Roman"/>
          <w:sz w:val="24"/>
          <w:szCs w:val="24"/>
        </w:rPr>
      </w:pPr>
      <w:r w:rsidRPr="00620207">
        <w:rPr>
          <w:rFonts w:ascii="Times New Roman" w:eastAsia="Calibri" w:hAnsi="Times New Roman" w:cs="Times New Roman"/>
          <w:sz w:val="24"/>
          <w:szCs w:val="24"/>
        </w:rPr>
        <w:t>Respectfully submitted,</w:t>
      </w:r>
    </w:p>
    <w:p w14:paraId="5EB6F3D4" w14:textId="77777777" w:rsidR="00F04DC1" w:rsidRPr="00620207" w:rsidRDefault="00F04DC1" w:rsidP="008D16EE">
      <w:pPr>
        <w:spacing w:after="0" w:line="240" w:lineRule="auto"/>
        <w:ind w:left="4320"/>
        <w:contextualSpacing/>
        <w:rPr>
          <w:rFonts w:ascii="Times New Roman" w:eastAsia="Calibri" w:hAnsi="Times New Roman" w:cs="Times New Roman"/>
          <w:sz w:val="24"/>
          <w:szCs w:val="24"/>
        </w:rPr>
      </w:pPr>
    </w:p>
    <w:p w14:paraId="40943F7C" w14:textId="3D7D1F40" w:rsidR="002C3539" w:rsidRPr="00620207" w:rsidRDefault="00CD1B6C" w:rsidP="00876052">
      <w:pPr>
        <w:spacing w:after="0" w:line="240" w:lineRule="auto"/>
        <w:contextualSpacing/>
        <w:rPr>
          <w:rFonts w:ascii="Times New Roman" w:eastAsia="Calibri" w:hAnsi="Times New Roman" w:cs="Times New Roman"/>
          <w:sz w:val="24"/>
          <w:szCs w:val="24"/>
        </w:rPr>
      </w:pPr>
      <w:r w:rsidRPr="00620207">
        <w:rPr>
          <w:rFonts w:ascii="Times New Roman" w:eastAsia="Calibri" w:hAnsi="Times New Roman" w:cs="Times New Roman"/>
          <w:b/>
          <w:bCs/>
          <w:iCs/>
          <w:sz w:val="24"/>
          <w:szCs w:val="24"/>
        </w:rPr>
        <w:t>DATED</w:t>
      </w:r>
      <w:r w:rsidRPr="00620207">
        <w:rPr>
          <w:rFonts w:ascii="Times New Roman" w:eastAsia="Calibri" w:hAnsi="Times New Roman" w:cs="Times New Roman"/>
          <w:iCs/>
          <w:sz w:val="24"/>
          <w:szCs w:val="24"/>
        </w:rPr>
        <w:t xml:space="preserve">: </w:t>
      </w:r>
    </w:p>
    <w:p w14:paraId="37D4737D" w14:textId="77777777" w:rsidR="00F04DC1" w:rsidRPr="00620207" w:rsidRDefault="00F04DC1" w:rsidP="00157C50">
      <w:pPr>
        <w:spacing w:after="0" w:line="480" w:lineRule="auto"/>
        <w:contextualSpacing/>
        <w:rPr>
          <w:rFonts w:ascii="Times New Roman" w:eastAsia="Calibri" w:hAnsi="Times New Roman" w:cs="Times New Roman"/>
          <w:iCs/>
          <w:sz w:val="24"/>
          <w:szCs w:val="24"/>
        </w:rPr>
      </w:pPr>
    </w:p>
    <w:p w14:paraId="36F425E6" w14:textId="77777777" w:rsidR="00F04DC1" w:rsidRPr="00620207" w:rsidRDefault="00F04DC1" w:rsidP="00157C50">
      <w:pPr>
        <w:spacing w:after="0" w:line="480" w:lineRule="auto"/>
        <w:rPr>
          <w:rFonts w:ascii="Times New Roman" w:eastAsia="Times New Roman" w:hAnsi="Times New Roman" w:cs="Times New Roman"/>
          <w:b/>
          <w:kern w:val="0"/>
          <w:sz w:val="24"/>
          <w:szCs w:val="24"/>
          <w14:ligatures w14:val="none"/>
        </w:rPr>
      </w:pPr>
    </w:p>
    <w:p w14:paraId="64355706" w14:textId="77777777" w:rsidR="00F04DC1" w:rsidRPr="00620207" w:rsidRDefault="00F04DC1" w:rsidP="00157C50">
      <w:pPr>
        <w:spacing w:after="0" w:line="480" w:lineRule="auto"/>
        <w:contextualSpacing/>
        <w:rPr>
          <w:rFonts w:ascii="Times New Roman" w:hAnsi="Times New Roman" w:cs="Times New Roman"/>
          <w:bCs/>
          <w:kern w:val="0"/>
          <w:sz w:val="24"/>
          <w:szCs w:val="24"/>
          <w14:ligatures w14:val="none"/>
        </w:rPr>
      </w:pPr>
    </w:p>
    <w:p w14:paraId="3691D3D2" w14:textId="77777777" w:rsidR="001363E3" w:rsidRPr="00620207" w:rsidRDefault="001363E3" w:rsidP="00157C50">
      <w:pPr>
        <w:spacing w:after="0" w:line="480" w:lineRule="auto"/>
        <w:rPr>
          <w:rFonts w:ascii="Times New Roman" w:hAnsi="Times New Roman" w:cs="Times New Roman"/>
          <w:sz w:val="24"/>
          <w:szCs w:val="24"/>
          <w:u w:val="single"/>
        </w:rPr>
      </w:pPr>
      <w:r w:rsidRPr="00620207">
        <w:rPr>
          <w:rFonts w:ascii="Times New Roman" w:hAnsi="Times New Roman" w:cs="Times New Roman"/>
          <w:sz w:val="24"/>
          <w:szCs w:val="24"/>
          <w:u w:val="single"/>
        </w:rPr>
        <w:br w:type="page"/>
      </w:r>
    </w:p>
    <w:p w14:paraId="45A55019" w14:textId="6F25B1D5" w:rsidR="00AE6512" w:rsidRPr="00620207" w:rsidRDefault="00AE6512" w:rsidP="00157C50">
      <w:pPr>
        <w:spacing w:after="0" w:line="480" w:lineRule="auto"/>
        <w:ind w:firstLine="720"/>
        <w:jc w:val="both"/>
        <w:rPr>
          <w:rFonts w:ascii="Times New Roman" w:eastAsia="Calibri" w:hAnsi="Times New Roman" w:cs="Times New Roman"/>
          <w:sz w:val="24"/>
          <w:szCs w:val="24"/>
        </w:rPr>
      </w:pPr>
      <w:r w:rsidRPr="00620207">
        <w:rPr>
          <w:rFonts w:ascii="Times New Roman" w:eastAsia="Calibri" w:hAnsi="Times New Roman" w:cs="Times New Roman"/>
          <w:sz w:val="24"/>
          <w:szCs w:val="24"/>
        </w:rPr>
        <w:t xml:space="preserve">Defendants submit this motion </w:t>
      </w:r>
      <w:r w:rsidRPr="00620207">
        <w:rPr>
          <w:rFonts w:ascii="Times New Roman" w:eastAsia="Calibri" w:hAnsi="Times New Roman" w:cs="Times New Roman"/>
          <w:i/>
          <w:iCs/>
          <w:sz w:val="24"/>
          <w:szCs w:val="24"/>
        </w:rPr>
        <w:t xml:space="preserve">in </w:t>
      </w:r>
      <w:proofErr w:type="spellStart"/>
      <w:r w:rsidRPr="00620207">
        <w:rPr>
          <w:rFonts w:ascii="Times New Roman" w:eastAsia="Calibri" w:hAnsi="Times New Roman" w:cs="Times New Roman"/>
          <w:i/>
          <w:iCs/>
          <w:sz w:val="24"/>
          <w:szCs w:val="24"/>
        </w:rPr>
        <w:t>limine</w:t>
      </w:r>
      <w:proofErr w:type="spellEnd"/>
      <w:r w:rsidRPr="00620207">
        <w:rPr>
          <w:rFonts w:ascii="Times New Roman" w:eastAsia="Calibri" w:hAnsi="Times New Roman" w:cs="Times New Roman"/>
          <w:sz w:val="24"/>
          <w:szCs w:val="24"/>
        </w:rPr>
        <w:t xml:space="preserve"> for an order precluding improper and irrelevant but highly unfairly prejudicial “community safety” appeals, commentary, or questions before this jury.</w:t>
      </w:r>
    </w:p>
    <w:p w14:paraId="71FEB97A" w14:textId="5AE3095B" w:rsidR="00AE6512" w:rsidRPr="00157C50" w:rsidRDefault="00AE6512" w:rsidP="00157C50">
      <w:pPr>
        <w:spacing w:after="0" w:line="480" w:lineRule="auto"/>
        <w:ind w:firstLine="720"/>
        <w:jc w:val="both"/>
        <w:rPr>
          <w:rFonts w:ascii="Times New Roman" w:eastAsia="Arial" w:hAnsi="Times New Roman" w:cs="Times New Roman"/>
          <w:color w:val="000000"/>
          <w:sz w:val="24"/>
          <w:szCs w:val="24"/>
        </w:rPr>
      </w:pPr>
      <w:r w:rsidRPr="00620207">
        <w:rPr>
          <w:rFonts w:ascii="Times New Roman" w:eastAsia="Calibri" w:hAnsi="Times New Roman" w:cs="Times New Roman"/>
          <w:sz w:val="24"/>
          <w:szCs w:val="24"/>
        </w:rPr>
        <w:t>A popular strategy is to present defendant and its conduct as a threat to the safety of the jury, their families, and their communities to generate</w:t>
      </w:r>
      <w:r w:rsidR="00D65355">
        <w:rPr>
          <w:rFonts w:ascii="Times New Roman" w:eastAsia="Calibri" w:hAnsi="Times New Roman" w:cs="Times New Roman"/>
          <w:sz w:val="24"/>
          <w:szCs w:val="24"/>
        </w:rPr>
        <w:t xml:space="preserve"> liability</w:t>
      </w:r>
      <w:r w:rsidR="005C2FA9">
        <w:rPr>
          <w:rFonts w:ascii="Times New Roman" w:eastAsia="Calibri" w:hAnsi="Times New Roman" w:cs="Times New Roman"/>
          <w:sz w:val="24"/>
          <w:szCs w:val="24"/>
        </w:rPr>
        <w:t xml:space="preserve"> verdicts</w:t>
      </w:r>
      <w:r w:rsidRPr="00620207">
        <w:rPr>
          <w:rFonts w:ascii="Times New Roman" w:eastAsia="Calibri" w:hAnsi="Times New Roman" w:cs="Times New Roman"/>
          <w:sz w:val="24"/>
          <w:szCs w:val="24"/>
        </w:rPr>
        <w:t xml:space="preserve"> excessive damages </w:t>
      </w:r>
      <w:r w:rsidR="005C2FA9">
        <w:rPr>
          <w:rFonts w:ascii="Times New Roman" w:eastAsia="Calibri" w:hAnsi="Times New Roman" w:cs="Times New Roman"/>
          <w:sz w:val="24"/>
          <w:szCs w:val="24"/>
        </w:rPr>
        <w:t>awards</w:t>
      </w:r>
      <w:r w:rsidRPr="00620207">
        <w:rPr>
          <w:rFonts w:ascii="Times New Roman" w:eastAsia="Calibri" w:hAnsi="Times New Roman" w:cs="Times New Roman"/>
          <w:sz w:val="24"/>
          <w:szCs w:val="24"/>
        </w:rPr>
        <w:t xml:space="preserve">. </w:t>
      </w:r>
      <w:r w:rsidR="00CA3B15">
        <w:rPr>
          <w:rFonts w:ascii="Times New Roman" w:eastAsia="Calibri" w:hAnsi="Times New Roman" w:cs="Times New Roman"/>
          <w:sz w:val="24"/>
          <w:szCs w:val="24"/>
        </w:rPr>
        <w:t>Most commonly, i</w:t>
      </w:r>
      <w:r w:rsidRPr="00620207">
        <w:rPr>
          <w:rFonts w:ascii="Times New Roman" w:eastAsia="Calibri" w:hAnsi="Times New Roman" w:cs="Times New Roman"/>
          <w:sz w:val="24"/>
          <w:szCs w:val="24"/>
        </w:rPr>
        <w:t xml:space="preserve">t </w:t>
      </w:r>
      <w:r w:rsidR="00CA3B15">
        <w:rPr>
          <w:rFonts w:ascii="Times New Roman" w:eastAsia="Calibri" w:hAnsi="Times New Roman" w:cs="Times New Roman"/>
          <w:sz w:val="24"/>
          <w:szCs w:val="24"/>
        </w:rPr>
        <w:t xml:space="preserve">entails </w:t>
      </w:r>
      <w:r w:rsidRPr="00620207">
        <w:rPr>
          <w:rFonts w:ascii="Times New Roman" w:eastAsia="Calibri" w:hAnsi="Times New Roman" w:cs="Times New Roman"/>
          <w:sz w:val="24"/>
          <w:szCs w:val="24"/>
        </w:rPr>
        <w:t>i</w:t>
      </w:r>
      <w:r w:rsidR="00746B56">
        <w:rPr>
          <w:rFonts w:ascii="Times New Roman" w:eastAsia="Calibri" w:hAnsi="Times New Roman" w:cs="Times New Roman"/>
          <w:sz w:val="24"/>
          <w:szCs w:val="24"/>
        </w:rPr>
        <w:t>nvo</w:t>
      </w:r>
      <w:r w:rsidR="00CA3B15">
        <w:rPr>
          <w:rFonts w:ascii="Times New Roman" w:eastAsia="Calibri" w:hAnsi="Times New Roman" w:cs="Times New Roman"/>
          <w:sz w:val="24"/>
          <w:szCs w:val="24"/>
        </w:rPr>
        <w:t>cations of</w:t>
      </w:r>
      <w:r w:rsidRPr="00620207">
        <w:rPr>
          <w:rFonts w:ascii="Times New Roman" w:eastAsia="Calibri" w:hAnsi="Times New Roman" w:cs="Times New Roman"/>
          <w:sz w:val="24"/>
          <w:szCs w:val="24"/>
        </w:rPr>
        <w:t xml:space="preserve"> “personal safety,” “community safety and protection,” “guardians of the community,” “community loyalty and duty,” “conscience of the community,” “danger to the community</w:t>
      </w:r>
      <w:r w:rsidR="001C3996">
        <w:rPr>
          <w:rFonts w:ascii="Times New Roman" w:eastAsia="Calibri" w:hAnsi="Times New Roman" w:cs="Times New Roman"/>
          <w:sz w:val="24"/>
          <w:szCs w:val="24"/>
        </w:rPr>
        <w:t>”</w:t>
      </w:r>
      <w:r w:rsidRPr="00620207">
        <w:rPr>
          <w:rFonts w:ascii="Times New Roman" w:eastAsia="Calibri" w:hAnsi="Times New Roman" w:cs="Times New Roman"/>
          <w:sz w:val="24"/>
          <w:szCs w:val="24"/>
        </w:rPr>
        <w:t xml:space="preserve"> to trigger a primitive survival response in the jury</w:t>
      </w:r>
      <w:r w:rsidR="005318C8">
        <w:rPr>
          <w:rFonts w:ascii="Times New Roman" w:eastAsia="Calibri" w:hAnsi="Times New Roman" w:cs="Times New Roman"/>
          <w:sz w:val="24"/>
          <w:szCs w:val="24"/>
        </w:rPr>
        <w:t xml:space="preserve"> that</w:t>
      </w:r>
      <w:r w:rsidRPr="00620207">
        <w:rPr>
          <w:rFonts w:ascii="Times New Roman" w:eastAsia="Calibri" w:hAnsi="Times New Roman" w:cs="Times New Roman"/>
          <w:sz w:val="24"/>
          <w:szCs w:val="24"/>
        </w:rPr>
        <w:t xml:space="preserve"> </w:t>
      </w:r>
      <w:r w:rsidR="006E56C7">
        <w:rPr>
          <w:rFonts w:ascii="Times New Roman" w:eastAsia="Calibri" w:hAnsi="Times New Roman" w:cs="Times New Roman"/>
          <w:sz w:val="24"/>
          <w:szCs w:val="24"/>
        </w:rPr>
        <w:t>culminat</w:t>
      </w:r>
      <w:r w:rsidR="005318C8">
        <w:rPr>
          <w:rFonts w:ascii="Times New Roman" w:eastAsia="Calibri" w:hAnsi="Times New Roman" w:cs="Times New Roman"/>
          <w:sz w:val="24"/>
          <w:szCs w:val="24"/>
        </w:rPr>
        <w:t>es</w:t>
      </w:r>
      <w:r w:rsidR="006E56C7">
        <w:rPr>
          <w:rFonts w:ascii="Times New Roman" w:eastAsia="Calibri" w:hAnsi="Times New Roman" w:cs="Times New Roman"/>
          <w:sz w:val="24"/>
          <w:szCs w:val="24"/>
        </w:rPr>
        <w:t xml:space="preserve"> in</w:t>
      </w:r>
      <w:r w:rsidRPr="00620207">
        <w:rPr>
          <w:rFonts w:ascii="Times New Roman" w:eastAsia="Calibri" w:hAnsi="Times New Roman" w:cs="Times New Roman"/>
          <w:sz w:val="24"/>
          <w:szCs w:val="24"/>
        </w:rPr>
        <w:t xml:space="preserve"> a larger verdict – not for compensatory damages – but one intended to protect themselves, their families, and communities, and to punish defendants as a preventative measure.</w:t>
      </w:r>
      <w:r w:rsidR="00157C50">
        <w:rPr>
          <w:rFonts w:ascii="Times New Roman" w:eastAsia="Calibri" w:hAnsi="Times New Roman" w:cs="Times New Roman"/>
          <w:sz w:val="24"/>
          <w:szCs w:val="24"/>
        </w:rPr>
        <w:t xml:space="preserve"> </w:t>
      </w:r>
      <w:r w:rsidR="00157C50">
        <w:rPr>
          <w:rFonts w:ascii="Times New Roman" w:eastAsia="Calibri" w:hAnsi="Times New Roman" w:cs="Times New Roman"/>
          <w:sz w:val="24"/>
          <w:szCs w:val="24"/>
          <w:u w:val="single"/>
        </w:rPr>
        <w:t>See</w:t>
      </w:r>
      <w:r w:rsidR="00157C50">
        <w:rPr>
          <w:rFonts w:ascii="Times New Roman" w:eastAsia="Calibri" w:hAnsi="Times New Roman" w:cs="Times New Roman"/>
          <w:sz w:val="24"/>
          <w:szCs w:val="24"/>
        </w:rPr>
        <w:t xml:space="preserve">, </w:t>
      </w:r>
      <w:r w:rsidR="00157C50">
        <w:rPr>
          <w:rFonts w:ascii="Times New Roman" w:eastAsia="Calibri" w:hAnsi="Times New Roman" w:cs="Times New Roman"/>
          <w:sz w:val="24"/>
          <w:szCs w:val="24"/>
          <w:u w:val="single"/>
        </w:rPr>
        <w:t>e.g.</w:t>
      </w:r>
      <w:r w:rsidR="00157C50">
        <w:rPr>
          <w:rFonts w:ascii="Times New Roman" w:eastAsia="Calibri" w:hAnsi="Times New Roman" w:cs="Times New Roman"/>
          <w:sz w:val="24"/>
          <w:szCs w:val="24"/>
        </w:rPr>
        <w:t xml:space="preserve">, </w:t>
      </w:r>
      <w:r w:rsidR="00157C50" w:rsidRPr="00157C50">
        <w:rPr>
          <w:rFonts w:ascii="Times New Roman" w:eastAsia="Calibri" w:hAnsi="Times New Roman" w:cs="Times New Roman"/>
          <w:sz w:val="24"/>
          <w:szCs w:val="24"/>
          <w:u w:val="single"/>
        </w:rPr>
        <w:t xml:space="preserve">Maher v. Locality </w:t>
      </w:r>
      <w:proofErr w:type="spellStart"/>
      <w:r w:rsidR="00157C50" w:rsidRPr="00157C50">
        <w:rPr>
          <w:rFonts w:ascii="Times New Roman" w:eastAsia="Calibri" w:hAnsi="Times New Roman" w:cs="Times New Roman"/>
          <w:sz w:val="24"/>
          <w:szCs w:val="24"/>
          <w:u w:val="single"/>
        </w:rPr>
        <w:t>Llc</w:t>
      </w:r>
      <w:proofErr w:type="spellEnd"/>
      <w:r w:rsidR="00157C50" w:rsidRPr="00157C50">
        <w:rPr>
          <w:rFonts w:ascii="Times New Roman" w:eastAsia="Calibri" w:hAnsi="Times New Roman" w:cs="Times New Roman"/>
          <w:sz w:val="24"/>
          <w:szCs w:val="24"/>
        </w:rPr>
        <w:t>, 2019 Colo. Dist. LEXIS 410, *13 (</w:t>
      </w:r>
      <w:proofErr w:type="spellStart"/>
      <w:r w:rsidR="00157C50" w:rsidRPr="00157C50">
        <w:rPr>
          <w:rFonts w:ascii="Times New Roman" w:eastAsia="Calibri" w:hAnsi="Times New Roman" w:cs="Times New Roman"/>
          <w:sz w:val="24"/>
          <w:szCs w:val="24"/>
        </w:rPr>
        <w:t>Dist.Ct</w:t>
      </w:r>
      <w:proofErr w:type="spellEnd"/>
      <w:r w:rsidR="00157C50" w:rsidRPr="00157C50">
        <w:rPr>
          <w:rFonts w:ascii="Times New Roman" w:eastAsia="Calibri" w:hAnsi="Times New Roman" w:cs="Times New Roman"/>
          <w:sz w:val="24"/>
          <w:szCs w:val="24"/>
        </w:rPr>
        <w:t>., Larimer Co. 2019)</w:t>
      </w:r>
      <w:r w:rsidR="00157C50">
        <w:rPr>
          <w:rFonts w:ascii="Times New Roman" w:eastAsia="Calibri" w:hAnsi="Times New Roman" w:cs="Times New Roman"/>
          <w:sz w:val="24"/>
          <w:szCs w:val="24"/>
        </w:rPr>
        <w:t xml:space="preserve">; </w:t>
      </w:r>
      <w:r w:rsidR="00157C50" w:rsidRPr="00157C50">
        <w:rPr>
          <w:rFonts w:ascii="Times New Roman" w:eastAsia="Calibri" w:hAnsi="Times New Roman" w:cs="Times New Roman"/>
          <w:sz w:val="24"/>
          <w:szCs w:val="24"/>
          <w:u w:val="single"/>
        </w:rPr>
        <w:t>Perez v. Ramos</w:t>
      </w:r>
      <w:r w:rsidR="00157C50" w:rsidRPr="00157C50">
        <w:rPr>
          <w:rFonts w:ascii="Times New Roman" w:eastAsia="Calibri" w:hAnsi="Times New Roman" w:cs="Times New Roman"/>
          <w:sz w:val="24"/>
          <w:szCs w:val="24"/>
        </w:rPr>
        <w:t>, 429 P.3d 254 (Kan. Ct. App. 2018) (approving preclusion)</w:t>
      </w:r>
      <w:r w:rsidR="00157C50">
        <w:rPr>
          <w:rFonts w:ascii="Times New Roman" w:eastAsia="Calibri" w:hAnsi="Times New Roman" w:cs="Times New Roman"/>
          <w:sz w:val="24"/>
          <w:szCs w:val="24"/>
        </w:rPr>
        <w:t>.</w:t>
      </w:r>
    </w:p>
    <w:p w14:paraId="25721547" w14:textId="7D1802B5" w:rsidR="009556FF" w:rsidRDefault="00173D47" w:rsidP="00DB6C7D">
      <w:pPr>
        <w:spacing w:after="0" w:line="480" w:lineRule="auto"/>
        <w:ind w:firstLine="720"/>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 </w:t>
      </w:r>
      <w:r w:rsidR="00835862">
        <w:rPr>
          <w:rFonts w:ascii="Times New Roman" w:eastAsia="Arial" w:hAnsi="Times New Roman" w:cs="Times New Roman"/>
          <w:color w:val="000000"/>
          <w:sz w:val="24"/>
          <w:szCs w:val="24"/>
        </w:rPr>
        <w:t>Because this</w:t>
      </w:r>
      <w:r w:rsidR="009959B9">
        <w:rPr>
          <w:rFonts w:ascii="Times New Roman" w:eastAsia="Arial" w:hAnsi="Times New Roman" w:cs="Times New Roman"/>
          <w:color w:val="000000"/>
          <w:sz w:val="24"/>
          <w:szCs w:val="24"/>
        </w:rPr>
        <w:t xml:space="preserve"> tactic</w:t>
      </w:r>
      <w:r w:rsidR="00935AF2">
        <w:rPr>
          <w:rFonts w:ascii="Times New Roman" w:eastAsia="Arial" w:hAnsi="Times New Roman" w:cs="Times New Roman"/>
          <w:color w:val="000000"/>
          <w:sz w:val="24"/>
          <w:szCs w:val="24"/>
        </w:rPr>
        <w:t xml:space="preserve"> first</w:t>
      </w:r>
      <w:r w:rsidR="009959B9">
        <w:rPr>
          <w:rFonts w:ascii="Times New Roman" w:eastAsia="Arial" w:hAnsi="Times New Roman" w:cs="Times New Roman"/>
          <w:color w:val="000000"/>
          <w:sz w:val="24"/>
          <w:szCs w:val="24"/>
        </w:rPr>
        <w:t xml:space="preserve"> </w:t>
      </w:r>
      <w:r w:rsidR="0082137A">
        <w:rPr>
          <w:rFonts w:ascii="Times New Roman" w:eastAsia="Arial" w:hAnsi="Times New Roman" w:cs="Times New Roman"/>
          <w:color w:val="000000"/>
          <w:sz w:val="24"/>
          <w:szCs w:val="24"/>
        </w:rPr>
        <w:t>diverts the jury’s attention from the</w:t>
      </w:r>
      <w:r w:rsidR="009959B9">
        <w:rPr>
          <w:rFonts w:ascii="Times New Roman" w:eastAsia="Arial" w:hAnsi="Times New Roman" w:cs="Times New Roman"/>
          <w:color w:val="000000"/>
          <w:sz w:val="24"/>
          <w:szCs w:val="24"/>
        </w:rPr>
        <w:t xml:space="preserve"> applicable legal standard (</w:t>
      </w:r>
      <w:r w:rsidR="004907B7">
        <w:rPr>
          <w:rFonts w:ascii="Times New Roman" w:eastAsia="Arial" w:hAnsi="Times New Roman" w:cs="Times New Roman"/>
          <w:color w:val="000000"/>
          <w:sz w:val="24"/>
          <w:szCs w:val="24"/>
        </w:rPr>
        <w:t>tort liability based on culpable conduct</w:t>
      </w:r>
      <w:r w:rsidR="007A10E6">
        <w:rPr>
          <w:rFonts w:ascii="Times New Roman" w:eastAsia="Arial" w:hAnsi="Times New Roman" w:cs="Times New Roman"/>
          <w:color w:val="000000"/>
          <w:sz w:val="24"/>
          <w:szCs w:val="24"/>
        </w:rPr>
        <w:t xml:space="preserve"> defined in law</w:t>
      </w:r>
      <w:r w:rsidR="004907B7">
        <w:rPr>
          <w:rFonts w:ascii="Times New Roman" w:eastAsia="Arial" w:hAnsi="Times New Roman" w:cs="Times New Roman"/>
          <w:color w:val="000000"/>
          <w:sz w:val="24"/>
          <w:szCs w:val="24"/>
        </w:rPr>
        <w:t xml:space="preserve">) </w:t>
      </w:r>
      <w:r w:rsidR="0082137A">
        <w:rPr>
          <w:rFonts w:ascii="Times New Roman" w:eastAsia="Arial" w:hAnsi="Times New Roman" w:cs="Times New Roman"/>
          <w:color w:val="000000"/>
          <w:sz w:val="24"/>
          <w:szCs w:val="24"/>
        </w:rPr>
        <w:t>to</w:t>
      </w:r>
      <w:r w:rsidR="004907B7">
        <w:rPr>
          <w:rFonts w:ascii="Times New Roman" w:eastAsia="Arial" w:hAnsi="Times New Roman" w:cs="Times New Roman"/>
          <w:color w:val="000000"/>
          <w:sz w:val="24"/>
          <w:szCs w:val="24"/>
        </w:rPr>
        <w:t xml:space="preserve"> </w:t>
      </w:r>
      <w:r w:rsidR="0082137A">
        <w:rPr>
          <w:rFonts w:ascii="Times New Roman" w:eastAsia="Arial" w:hAnsi="Times New Roman" w:cs="Times New Roman"/>
          <w:color w:val="000000"/>
          <w:sz w:val="24"/>
          <w:szCs w:val="24"/>
        </w:rPr>
        <w:t>the</w:t>
      </w:r>
      <w:r w:rsidR="009B2AEB">
        <w:rPr>
          <w:rFonts w:ascii="Times New Roman" w:eastAsia="Arial" w:hAnsi="Times New Roman" w:cs="Times New Roman"/>
          <w:color w:val="000000"/>
          <w:sz w:val="24"/>
          <w:szCs w:val="24"/>
        </w:rPr>
        <w:t xml:space="preserve"> amorphous </w:t>
      </w:r>
      <w:r w:rsidR="003753D1">
        <w:rPr>
          <w:rFonts w:ascii="Times New Roman" w:eastAsia="Arial" w:hAnsi="Times New Roman" w:cs="Times New Roman"/>
          <w:color w:val="000000"/>
          <w:sz w:val="24"/>
          <w:szCs w:val="24"/>
        </w:rPr>
        <w:t>specter</w:t>
      </w:r>
      <w:r w:rsidR="009B2AEB">
        <w:rPr>
          <w:rFonts w:ascii="Times New Roman" w:eastAsia="Arial" w:hAnsi="Times New Roman" w:cs="Times New Roman"/>
          <w:color w:val="000000"/>
          <w:sz w:val="24"/>
          <w:szCs w:val="24"/>
        </w:rPr>
        <w:t xml:space="preserve"> of “community </w:t>
      </w:r>
      <w:r w:rsidR="00481AEF">
        <w:rPr>
          <w:rFonts w:ascii="Times New Roman" w:eastAsia="Arial" w:hAnsi="Times New Roman" w:cs="Times New Roman"/>
          <w:color w:val="000000"/>
          <w:sz w:val="24"/>
          <w:szCs w:val="24"/>
        </w:rPr>
        <w:t>threat</w:t>
      </w:r>
      <w:r w:rsidR="009B2AEB">
        <w:rPr>
          <w:rFonts w:ascii="Times New Roman" w:eastAsia="Arial" w:hAnsi="Times New Roman" w:cs="Times New Roman"/>
          <w:color w:val="000000"/>
          <w:sz w:val="24"/>
          <w:szCs w:val="24"/>
        </w:rPr>
        <w:t xml:space="preserve">” and </w:t>
      </w:r>
      <w:r w:rsidR="00935AF2">
        <w:rPr>
          <w:rFonts w:ascii="Times New Roman" w:eastAsia="Arial" w:hAnsi="Times New Roman" w:cs="Times New Roman"/>
          <w:color w:val="000000"/>
          <w:sz w:val="24"/>
          <w:szCs w:val="24"/>
        </w:rPr>
        <w:t>then urges it</w:t>
      </w:r>
      <w:r w:rsidR="009316AC">
        <w:rPr>
          <w:rFonts w:ascii="Times New Roman" w:eastAsia="Arial" w:hAnsi="Times New Roman" w:cs="Times New Roman"/>
          <w:color w:val="000000"/>
          <w:sz w:val="24"/>
          <w:szCs w:val="24"/>
        </w:rPr>
        <w:t xml:space="preserve"> </w:t>
      </w:r>
      <w:r w:rsidR="00935AF2">
        <w:rPr>
          <w:rFonts w:ascii="Times New Roman" w:eastAsia="Arial" w:hAnsi="Times New Roman" w:cs="Times New Roman"/>
          <w:color w:val="000000"/>
          <w:sz w:val="24"/>
          <w:szCs w:val="24"/>
        </w:rPr>
        <w:t>to punish and deter the threat, rather than compensat</w:t>
      </w:r>
      <w:r w:rsidR="00804995">
        <w:rPr>
          <w:rFonts w:ascii="Times New Roman" w:eastAsia="Arial" w:hAnsi="Times New Roman" w:cs="Times New Roman"/>
          <w:color w:val="000000"/>
          <w:sz w:val="24"/>
          <w:szCs w:val="24"/>
        </w:rPr>
        <w:t>e</w:t>
      </w:r>
      <w:r w:rsidR="00935AF2">
        <w:rPr>
          <w:rFonts w:ascii="Times New Roman" w:eastAsia="Arial" w:hAnsi="Times New Roman" w:cs="Times New Roman"/>
          <w:color w:val="000000"/>
          <w:sz w:val="24"/>
          <w:szCs w:val="24"/>
        </w:rPr>
        <w:t xml:space="preserve"> the plaintiff</w:t>
      </w:r>
      <w:r w:rsidR="008D0715">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 xml:space="preserve"> “it </w:t>
      </w:r>
      <w:r w:rsidRPr="00173D47">
        <w:rPr>
          <w:rFonts w:ascii="Times New Roman" w:eastAsia="Arial" w:hAnsi="Times New Roman" w:cs="Times New Roman"/>
          <w:color w:val="000000"/>
          <w:sz w:val="24"/>
          <w:szCs w:val="24"/>
        </w:rPr>
        <w:t>is inappropriate to refer to the jury as the ‘conscience of the community</w:t>
      </w:r>
      <w:r w:rsidR="00CA2407">
        <w:rPr>
          <w:rFonts w:ascii="Times New Roman" w:eastAsia="Arial" w:hAnsi="Times New Roman" w:cs="Times New Roman"/>
          <w:color w:val="000000"/>
          <w:sz w:val="24"/>
          <w:szCs w:val="24"/>
        </w:rPr>
        <w:t>.</w:t>
      </w:r>
      <w:r w:rsidRPr="00173D47">
        <w:rPr>
          <w:rFonts w:ascii="Times New Roman" w:eastAsia="Arial" w:hAnsi="Times New Roman" w:cs="Times New Roman"/>
          <w:color w:val="000000"/>
          <w:sz w:val="24"/>
          <w:szCs w:val="24"/>
        </w:rPr>
        <w:t>’”</w:t>
      </w:r>
      <w:r w:rsidR="00AE6512" w:rsidRPr="00620207">
        <w:rPr>
          <w:rFonts w:ascii="Times New Roman" w:eastAsia="Arial" w:hAnsi="Times New Roman" w:cs="Times New Roman"/>
          <w:color w:val="000000"/>
          <w:sz w:val="24"/>
          <w:szCs w:val="24"/>
        </w:rPr>
        <w:t xml:space="preserve"> </w:t>
      </w:r>
      <w:r w:rsidR="00AE6512" w:rsidRPr="00620207">
        <w:rPr>
          <w:rFonts w:ascii="Times New Roman" w:eastAsia="Arial" w:hAnsi="Times New Roman" w:cs="Times New Roman"/>
          <w:color w:val="000000"/>
          <w:sz w:val="24"/>
          <w:szCs w:val="24"/>
          <w:u w:val="single"/>
        </w:rPr>
        <w:t>Norton v. Nguyen</w:t>
      </w:r>
      <w:r w:rsidR="00AE6512" w:rsidRPr="00620207">
        <w:rPr>
          <w:rFonts w:ascii="Times New Roman" w:eastAsia="Arial" w:hAnsi="Times New Roman" w:cs="Times New Roman"/>
          <w:color w:val="000000"/>
          <w:sz w:val="24"/>
          <w:szCs w:val="24"/>
        </w:rPr>
        <w:t xml:space="preserve">, 49 A.D.3d 927, 930 (3d </w:t>
      </w:r>
      <w:proofErr w:type="spellStart"/>
      <w:r w:rsidR="00AE6512" w:rsidRPr="00620207">
        <w:rPr>
          <w:rFonts w:ascii="Times New Roman" w:eastAsia="Arial" w:hAnsi="Times New Roman" w:cs="Times New Roman"/>
          <w:color w:val="000000"/>
          <w:sz w:val="24"/>
          <w:szCs w:val="24"/>
        </w:rPr>
        <w:t>Dep’t</w:t>
      </w:r>
      <w:proofErr w:type="spellEnd"/>
      <w:r w:rsidR="00AE6512" w:rsidRPr="00620207">
        <w:rPr>
          <w:rFonts w:ascii="Times New Roman" w:eastAsia="Arial" w:hAnsi="Times New Roman" w:cs="Times New Roman"/>
          <w:color w:val="000000"/>
          <w:sz w:val="24"/>
          <w:szCs w:val="24"/>
        </w:rPr>
        <w:t xml:space="preserve"> 2008);</w:t>
      </w:r>
      <w:r w:rsidR="00A0731F">
        <w:rPr>
          <w:rFonts w:ascii="Times New Roman" w:eastAsia="Arial" w:hAnsi="Times New Roman" w:cs="Times New Roman"/>
          <w:color w:val="000000"/>
          <w:sz w:val="24"/>
          <w:szCs w:val="24"/>
        </w:rPr>
        <w:t xml:space="preserve"> </w:t>
      </w:r>
      <w:r w:rsidR="00A0731F">
        <w:rPr>
          <w:rFonts w:ascii="Times New Roman" w:eastAsia="Arial" w:hAnsi="Times New Roman" w:cs="Times New Roman"/>
          <w:color w:val="000000"/>
          <w:sz w:val="24"/>
          <w:szCs w:val="24"/>
          <w:u w:val="single"/>
        </w:rPr>
        <w:t>see</w:t>
      </w:r>
      <w:r w:rsidR="00AE6512" w:rsidRPr="00620207">
        <w:rPr>
          <w:rFonts w:ascii="Times New Roman" w:eastAsia="Arial" w:hAnsi="Times New Roman" w:cs="Times New Roman"/>
          <w:color w:val="000000"/>
          <w:sz w:val="24"/>
          <w:szCs w:val="24"/>
        </w:rPr>
        <w:t xml:space="preserve"> </w:t>
      </w:r>
      <w:r w:rsidR="00A0731F" w:rsidRPr="00A0731F">
        <w:rPr>
          <w:rFonts w:ascii="Times New Roman" w:eastAsia="Arial" w:hAnsi="Times New Roman" w:cs="Times New Roman"/>
          <w:color w:val="000000"/>
          <w:sz w:val="24"/>
          <w:szCs w:val="24"/>
          <w:u w:val="single"/>
        </w:rPr>
        <w:t>Halftown v. Triple D Leasing Corp.</w:t>
      </w:r>
      <w:r w:rsidR="00A0731F" w:rsidRPr="00A0731F">
        <w:rPr>
          <w:rFonts w:ascii="Times New Roman" w:eastAsia="Arial" w:hAnsi="Times New Roman" w:cs="Times New Roman"/>
          <w:color w:val="000000"/>
          <w:sz w:val="24"/>
          <w:szCs w:val="24"/>
        </w:rPr>
        <w:t xml:space="preserve">, 89 A.D.2d 794, 794 (4th </w:t>
      </w:r>
      <w:proofErr w:type="spellStart"/>
      <w:r w:rsidR="00A0731F" w:rsidRPr="00A0731F">
        <w:rPr>
          <w:rFonts w:ascii="Times New Roman" w:eastAsia="Arial" w:hAnsi="Times New Roman" w:cs="Times New Roman"/>
          <w:color w:val="000000"/>
          <w:sz w:val="24"/>
          <w:szCs w:val="24"/>
        </w:rPr>
        <w:t>Dep</w:t>
      </w:r>
      <w:r w:rsidR="006004AF">
        <w:rPr>
          <w:rFonts w:ascii="Times New Roman" w:eastAsia="Arial" w:hAnsi="Times New Roman" w:cs="Times New Roman"/>
          <w:color w:val="000000"/>
          <w:sz w:val="24"/>
          <w:szCs w:val="24"/>
        </w:rPr>
        <w:t>’t</w:t>
      </w:r>
      <w:proofErr w:type="spellEnd"/>
      <w:r w:rsidR="00A0731F" w:rsidRPr="00A0731F">
        <w:rPr>
          <w:rFonts w:ascii="Times New Roman" w:eastAsia="Arial" w:hAnsi="Times New Roman" w:cs="Times New Roman"/>
          <w:color w:val="000000"/>
          <w:sz w:val="24"/>
          <w:szCs w:val="24"/>
        </w:rPr>
        <w:t xml:space="preserve"> 1982) </w:t>
      </w:r>
      <w:r w:rsidR="00AE6512" w:rsidRPr="00620207">
        <w:rPr>
          <w:rFonts w:ascii="Times New Roman" w:eastAsia="Arial" w:hAnsi="Times New Roman" w:cs="Times New Roman"/>
          <w:color w:val="000000"/>
          <w:sz w:val="24"/>
          <w:szCs w:val="24"/>
        </w:rPr>
        <w:t xml:space="preserve">(ordering, </w:t>
      </w:r>
      <w:r w:rsidR="00AE6512" w:rsidRPr="00620207">
        <w:rPr>
          <w:rFonts w:ascii="Times New Roman" w:eastAsia="Arial" w:hAnsi="Times New Roman" w:cs="Times New Roman"/>
          <w:i/>
          <w:iCs/>
          <w:color w:val="000000"/>
          <w:sz w:val="24"/>
          <w:szCs w:val="24"/>
        </w:rPr>
        <w:t>inter alia</w:t>
      </w:r>
      <w:r w:rsidR="00AE6512" w:rsidRPr="00620207">
        <w:rPr>
          <w:rFonts w:ascii="Times New Roman" w:eastAsia="Arial" w:hAnsi="Times New Roman" w:cs="Times New Roman"/>
          <w:color w:val="000000"/>
          <w:sz w:val="24"/>
          <w:szCs w:val="24"/>
        </w:rPr>
        <w:t>, a new trial on damages, where “Counsel [] told the jury six times that they were “the conscience of the community” and must send a message to those in the construction field to be more careful so that this does not happen again, thereby inviting the jury to award punitive damages although such were not involved in the pleadings)</w:t>
      </w:r>
      <w:r w:rsidR="003E3CAF">
        <w:rPr>
          <w:rFonts w:ascii="Times New Roman" w:eastAsia="Arial" w:hAnsi="Times New Roman" w:cs="Times New Roman"/>
          <w:color w:val="000000"/>
          <w:sz w:val="24"/>
          <w:szCs w:val="24"/>
        </w:rPr>
        <w:t xml:space="preserve">; </w:t>
      </w:r>
      <w:r w:rsidR="003E3CAF" w:rsidRPr="003E3CAF">
        <w:rPr>
          <w:rFonts w:ascii="Times New Roman" w:eastAsia="Arial" w:hAnsi="Times New Roman" w:cs="Times New Roman"/>
          <w:color w:val="000000"/>
          <w:sz w:val="24"/>
          <w:szCs w:val="24"/>
          <w:u w:val="single"/>
        </w:rPr>
        <w:t>People v. Bowie</w:t>
      </w:r>
      <w:r w:rsidR="003E3CAF" w:rsidRPr="003E3CAF">
        <w:rPr>
          <w:rFonts w:ascii="Times New Roman" w:eastAsia="Arial" w:hAnsi="Times New Roman" w:cs="Times New Roman"/>
          <w:color w:val="000000"/>
          <w:sz w:val="24"/>
          <w:szCs w:val="24"/>
        </w:rPr>
        <w:t xml:space="preserve">, 200 A.D.2d 511, 513 (1st </w:t>
      </w:r>
      <w:proofErr w:type="spellStart"/>
      <w:r w:rsidR="003E3CAF" w:rsidRPr="003E3CAF">
        <w:rPr>
          <w:rFonts w:ascii="Times New Roman" w:eastAsia="Arial" w:hAnsi="Times New Roman" w:cs="Times New Roman"/>
          <w:color w:val="000000"/>
          <w:sz w:val="24"/>
          <w:szCs w:val="24"/>
        </w:rPr>
        <w:t>Dep</w:t>
      </w:r>
      <w:r w:rsidR="00E75200">
        <w:rPr>
          <w:rFonts w:ascii="Times New Roman" w:eastAsia="Arial" w:hAnsi="Times New Roman" w:cs="Times New Roman"/>
          <w:color w:val="000000"/>
          <w:sz w:val="24"/>
          <w:szCs w:val="24"/>
        </w:rPr>
        <w:t>’t</w:t>
      </w:r>
      <w:proofErr w:type="spellEnd"/>
      <w:r w:rsidR="003E3CAF" w:rsidRPr="003E3CAF">
        <w:rPr>
          <w:rFonts w:ascii="Times New Roman" w:eastAsia="Arial" w:hAnsi="Times New Roman" w:cs="Times New Roman"/>
          <w:color w:val="000000"/>
          <w:sz w:val="24"/>
          <w:szCs w:val="24"/>
        </w:rPr>
        <w:t xml:space="preserve"> 1994) (same, criminal cases)</w:t>
      </w:r>
      <w:r w:rsidR="00AE6512" w:rsidRPr="00620207">
        <w:rPr>
          <w:rFonts w:ascii="Times New Roman" w:eastAsia="Arial" w:hAnsi="Times New Roman" w:cs="Times New Roman"/>
          <w:color w:val="000000"/>
          <w:sz w:val="24"/>
          <w:szCs w:val="24"/>
        </w:rPr>
        <w:t xml:space="preserve">; </w:t>
      </w:r>
      <w:r w:rsidR="00AE6512" w:rsidRPr="00620207">
        <w:rPr>
          <w:rFonts w:ascii="Times New Roman" w:eastAsia="Arial" w:hAnsi="Times New Roman" w:cs="Times New Roman"/>
          <w:color w:val="000000"/>
          <w:sz w:val="24"/>
          <w:szCs w:val="24"/>
          <w:u w:val="single"/>
        </w:rPr>
        <w:t>see</w:t>
      </w:r>
      <w:r w:rsidR="00AE6512" w:rsidRPr="00620207">
        <w:rPr>
          <w:rFonts w:ascii="Times New Roman" w:eastAsia="Arial" w:hAnsi="Times New Roman" w:cs="Times New Roman"/>
          <w:color w:val="000000"/>
          <w:sz w:val="24"/>
          <w:szCs w:val="24"/>
        </w:rPr>
        <w:t xml:space="preserve"> </w:t>
      </w:r>
      <w:r w:rsidR="00AE6512" w:rsidRPr="00620207">
        <w:rPr>
          <w:rFonts w:ascii="Times New Roman" w:eastAsia="Arial" w:hAnsi="Times New Roman" w:cs="Times New Roman"/>
          <w:color w:val="000000"/>
          <w:sz w:val="24"/>
          <w:szCs w:val="24"/>
          <w:u w:val="single"/>
        </w:rPr>
        <w:t>also</w:t>
      </w:r>
      <w:r w:rsidR="00AE6512" w:rsidRPr="00620207">
        <w:rPr>
          <w:rFonts w:ascii="Times New Roman" w:eastAsia="Arial" w:hAnsi="Times New Roman" w:cs="Times New Roman"/>
          <w:color w:val="000000"/>
          <w:sz w:val="24"/>
          <w:szCs w:val="24"/>
        </w:rPr>
        <w:t xml:space="preserve"> </w:t>
      </w:r>
      <w:r w:rsidR="00AE6512" w:rsidRPr="00620207">
        <w:rPr>
          <w:rFonts w:ascii="Times New Roman" w:eastAsia="Arial" w:hAnsi="Times New Roman" w:cs="Times New Roman"/>
          <w:color w:val="000000"/>
          <w:sz w:val="24"/>
          <w:szCs w:val="24"/>
          <w:u w:val="single"/>
        </w:rPr>
        <w:t>People v. Douglas</w:t>
      </w:r>
      <w:r w:rsidR="00AE6512" w:rsidRPr="00620207">
        <w:rPr>
          <w:rFonts w:ascii="Times New Roman" w:eastAsia="Arial" w:hAnsi="Times New Roman" w:cs="Times New Roman"/>
          <w:color w:val="000000"/>
          <w:sz w:val="24"/>
          <w:szCs w:val="24"/>
        </w:rPr>
        <w:t xml:space="preserve">, 178 Misc. 2d 918, 929 (Sup. Ct. Bronx </w:t>
      </w:r>
      <w:proofErr w:type="spellStart"/>
      <w:r w:rsidR="00AE6512" w:rsidRPr="00620207">
        <w:rPr>
          <w:rFonts w:ascii="Times New Roman" w:eastAsia="Arial" w:hAnsi="Times New Roman" w:cs="Times New Roman"/>
          <w:color w:val="000000"/>
          <w:sz w:val="24"/>
          <w:szCs w:val="24"/>
        </w:rPr>
        <w:t>Cnty</w:t>
      </w:r>
      <w:proofErr w:type="spellEnd"/>
      <w:r w:rsidR="00AE6512" w:rsidRPr="00620207">
        <w:rPr>
          <w:rFonts w:ascii="Times New Roman" w:eastAsia="Arial" w:hAnsi="Times New Roman" w:cs="Times New Roman"/>
          <w:color w:val="000000"/>
          <w:sz w:val="24"/>
          <w:szCs w:val="24"/>
        </w:rPr>
        <w:t>. 1998) (the principle is also applicable in criminal jury trials [before sentencing], as “[j]</w:t>
      </w:r>
      <w:proofErr w:type="spellStart"/>
      <w:r w:rsidR="00AE6512" w:rsidRPr="00620207">
        <w:rPr>
          <w:rFonts w:ascii="Times New Roman" w:eastAsia="Arial" w:hAnsi="Times New Roman" w:cs="Times New Roman"/>
          <w:color w:val="000000"/>
          <w:sz w:val="24"/>
          <w:szCs w:val="24"/>
        </w:rPr>
        <w:t>uries</w:t>
      </w:r>
      <w:proofErr w:type="spellEnd"/>
      <w:r w:rsidR="00AE6512" w:rsidRPr="00620207">
        <w:rPr>
          <w:rFonts w:ascii="Times New Roman" w:eastAsia="Arial" w:hAnsi="Times New Roman" w:cs="Times New Roman"/>
          <w:color w:val="000000"/>
          <w:sz w:val="24"/>
          <w:szCs w:val="24"/>
        </w:rPr>
        <w:t xml:space="preserve"> cannot be ‘the conscience of the community’ [</w:t>
      </w:r>
      <w:r w:rsidR="00AE6512" w:rsidRPr="00620207">
        <w:rPr>
          <w:rFonts w:ascii="Times New Roman" w:eastAsia="Arial" w:hAnsi="Times New Roman" w:cs="Times New Roman"/>
          <w:i/>
          <w:iCs/>
          <w:color w:val="000000"/>
          <w:sz w:val="24"/>
          <w:szCs w:val="24"/>
        </w:rPr>
        <w:t>United States v Spock</w:t>
      </w:r>
      <w:r w:rsidR="00AE6512" w:rsidRPr="00620207">
        <w:rPr>
          <w:rFonts w:ascii="Times New Roman" w:eastAsia="Arial" w:hAnsi="Times New Roman" w:cs="Times New Roman"/>
          <w:color w:val="000000"/>
          <w:sz w:val="24"/>
          <w:szCs w:val="24"/>
        </w:rPr>
        <w:t>, 416</w:t>
      </w:r>
      <w:r w:rsidR="00280851">
        <w:rPr>
          <w:rFonts w:ascii="Times New Roman" w:eastAsia="Arial" w:hAnsi="Times New Roman" w:cs="Times New Roman"/>
          <w:color w:val="000000"/>
          <w:sz w:val="24"/>
          <w:szCs w:val="24"/>
        </w:rPr>
        <w:t> </w:t>
      </w:r>
      <w:r w:rsidR="00AE6512" w:rsidRPr="00620207">
        <w:rPr>
          <w:rFonts w:ascii="Times New Roman" w:eastAsia="Arial" w:hAnsi="Times New Roman" w:cs="Times New Roman"/>
          <w:color w:val="000000"/>
          <w:sz w:val="24"/>
          <w:szCs w:val="24"/>
        </w:rPr>
        <w:t>F2d 165, 182 (1st Cir</w:t>
      </w:r>
      <w:r w:rsidR="00F254CE">
        <w:rPr>
          <w:rFonts w:ascii="Times New Roman" w:eastAsia="Arial" w:hAnsi="Times New Roman" w:cs="Times New Roman"/>
          <w:color w:val="000000"/>
          <w:sz w:val="24"/>
          <w:szCs w:val="24"/>
        </w:rPr>
        <w:t>.</w:t>
      </w:r>
      <w:r w:rsidR="00AE6512" w:rsidRPr="00620207">
        <w:rPr>
          <w:rFonts w:ascii="Times New Roman" w:eastAsia="Arial" w:hAnsi="Times New Roman" w:cs="Times New Roman"/>
          <w:color w:val="000000"/>
          <w:sz w:val="24"/>
          <w:szCs w:val="24"/>
        </w:rPr>
        <w:t xml:space="preserve"> 1969)] by violating their oath to apply the law to the evidence”); PJI</w:t>
      </w:r>
      <w:r w:rsidR="00280851">
        <w:rPr>
          <w:rFonts w:ascii="Times New Roman" w:eastAsia="Arial" w:hAnsi="Times New Roman" w:cs="Times New Roman"/>
          <w:color w:val="000000"/>
          <w:sz w:val="24"/>
          <w:szCs w:val="24"/>
        </w:rPr>
        <w:t> </w:t>
      </w:r>
      <w:r w:rsidR="00AE6512" w:rsidRPr="00620207">
        <w:rPr>
          <w:rFonts w:ascii="Times New Roman" w:eastAsia="Arial" w:hAnsi="Times New Roman" w:cs="Times New Roman"/>
          <w:color w:val="000000"/>
          <w:sz w:val="24"/>
          <w:szCs w:val="24"/>
        </w:rPr>
        <w:t>2:280 annotations, p. 946.</w:t>
      </w:r>
      <w:r w:rsidR="008F4D51">
        <w:rPr>
          <w:rFonts w:ascii="Times New Roman" w:eastAsia="Arial" w:hAnsi="Times New Roman" w:cs="Times New Roman"/>
          <w:color w:val="000000"/>
          <w:sz w:val="24"/>
          <w:szCs w:val="24"/>
        </w:rPr>
        <w:t xml:space="preserve"> </w:t>
      </w:r>
      <w:r w:rsidR="00D46294">
        <w:rPr>
          <w:rFonts w:ascii="Times New Roman" w:eastAsia="Arial" w:hAnsi="Times New Roman" w:cs="Times New Roman"/>
          <w:color w:val="000000"/>
          <w:sz w:val="24"/>
          <w:szCs w:val="24"/>
        </w:rPr>
        <w:t>Like the</w:t>
      </w:r>
      <w:r w:rsidR="00AE6512" w:rsidRPr="00620207">
        <w:rPr>
          <w:rFonts w:ascii="Times New Roman" w:eastAsia="Arial" w:hAnsi="Times New Roman" w:cs="Times New Roman"/>
          <w:color w:val="000000"/>
          <w:sz w:val="24"/>
          <w:szCs w:val="24"/>
        </w:rPr>
        <w:t xml:space="preserve"> “safe streets” arguments</w:t>
      </w:r>
      <w:r w:rsidR="00D46294">
        <w:rPr>
          <w:rFonts w:ascii="Times New Roman" w:eastAsia="Arial" w:hAnsi="Times New Roman" w:cs="Times New Roman"/>
          <w:color w:val="000000"/>
          <w:sz w:val="24"/>
          <w:szCs w:val="24"/>
        </w:rPr>
        <w:t xml:space="preserve"> prohibited in criminal cases (</w:t>
      </w:r>
      <w:r w:rsidR="00D46294">
        <w:rPr>
          <w:rFonts w:ascii="Times New Roman" w:eastAsia="Arial" w:hAnsi="Times New Roman" w:cs="Times New Roman"/>
          <w:color w:val="000000"/>
          <w:sz w:val="24"/>
          <w:szCs w:val="24"/>
          <w:u w:val="single"/>
        </w:rPr>
        <w:t>see</w:t>
      </w:r>
      <w:r w:rsidR="00D46294">
        <w:rPr>
          <w:rFonts w:ascii="Times New Roman" w:eastAsia="Arial" w:hAnsi="Times New Roman" w:cs="Times New Roman"/>
          <w:color w:val="000000"/>
          <w:sz w:val="24"/>
          <w:szCs w:val="24"/>
        </w:rPr>
        <w:t xml:space="preserve"> </w:t>
      </w:r>
      <w:r w:rsidR="00D46294" w:rsidRPr="003E3CAF">
        <w:rPr>
          <w:rFonts w:ascii="Times New Roman" w:eastAsia="Arial" w:hAnsi="Times New Roman" w:cs="Times New Roman"/>
          <w:color w:val="000000"/>
          <w:sz w:val="24"/>
          <w:szCs w:val="24"/>
          <w:u w:val="single"/>
        </w:rPr>
        <w:t>Bowie</w:t>
      </w:r>
      <w:r w:rsidR="00D46294" w:rsidRPr="003E3CAF">
        <w:rPr>
          <w:rFonts w:ascii="Times New Roman" w:eastAsia="Arial" w:hAnsi="Times New Roman" w:cs="Times New Roman"/>
          <w:color w:val="000000"/>
          <w:sz w:val="24"/>
          <w:szCs w:val="24"/>
        </w:rPr>
        <w:t xml:space="preserve">, 200 A.D.2d </w:t>
      </w:r>
      <w:r w:rsidR="00D46294">
        <w:rPr>
          <w:rFonts w:ascii="Times New Roman" w:eastAsia="Arial" w:hAnsi="Times New Roman" w:cs="Times New Roman"/>
          <w:color w:val="000000"/>
          <w:sz w:val="24"/>
          <w:szCs w:val="24"/>
        </w:rPr>
        <w:t>at</w:t>
      </w:r>
      <w:r w:rsidR="00D46294" w:rsidRPr="003E3CAF">
        <w:rPr>
          <w:rFonts w:ascii="Times New Roman" w:eastAsia="Arial" w:hAnsi="Times New Roman" w:cs="Times New Roman"/>
          <w:color w:val="000000"/>
          <w:sz w:val="24"/>
          <w:szCs w:val="24"/>
        </w:rPr>
        <w:t xml:space="preserve"> 513</w:t>
      </w:r>
      <w:r w:rsidR="00D46294">
        <w:rPr>
          <w:rFonts w:ascii="Times New Roman" w:eastAsia="Arial" w:hAnsi="Times New Roman" w:cs="Times New Roman"/>
          <w:color w:val="000000"/>
          <w:sz w:val="24"/>
          <w:szCs w:val="24"/>
        </w:rPr>
        <w:t>)</w:t>
      </w:r>
      <w:r w:rsidR="00AE6512" w:rsidRPr="00620207">
        <w:rPr>
          <w:rFonts w:ascii="Times New Roman" w:eastAsia="Arial" w:hAnsi="Times New Roman" w:cs="Times New Roman"/>
          <w:color w:val="000000"/>
          <w:sz w:val="24"/>
          <w:szCs w:val="24"/>
        </w:rPr>
        <w:t xml:space="preserve">, </w:t>
      </w:r>
      <w:r w:rsidR="00B41530">
        <w:rPr>
          <w:rFonts w:ascii="Times New Roman" w:eastAsia="Arial" w:hAnsi="Times New Roman" w:cs="Times New Roman"/>
          <w:color w:val="000000"/>
          <w:sz w:val="24"/>
          <w:szCs w:val="24"/>
        </w:rPr>
        <w:t>“community safety” appeals</w:t>
      </w:r>
      <w:r w:rsidR="00AE6512" w:rsidRPr="00620207">
        <w:rPr>
          <w:rFonts w:ascii="Times New Roman" w:eastAsia="Arial" w:hAnsi="Times New Roman" w:cs="Times New Roman"/>
          <w:color w:val="000000"/>
          <w:sz w:val="24"/>
          <w:szCs w:val="24"/>
        </w:rPr>
        <w:t xml:space="preserve"> goad the jury into rendering a verdict based on fear and </w:t>
      </w:r>
      <w:r w:rsidR="00441577">
        <w:rPr>
          <w:rFonts w:ascii="Times New Roman" w:eastAsia="Arial" w:hAnsi="Times New Roman" w:cs="Times New Roman"/>
          <w:color w:val="000000"/>
          <w:sz w:val="24"/>
          <w:szCs w:val="24"/>
        </w:rPr>
        <w:t>retribution</w:t>
      </w:r>
      <w:r w:rsidR="00AE6512" w:rsidRPr="00620207">
        <w:rPr>
          <w:rFonts w:ascii="Times New Roman" w:eastAsia="Arial" w:hAnsi="Times New Roman" w:cs="Times New Roman"/>
          <w:color w:val="000000"/>
          <w:sz w:val="24"/>
          <w:szCs w:val="24"/>
        </w:rPr>
        <w:t>, as opposed to</w:t>
      </w:r>
      <w:r w:rsidR="007247D9">
        <w:rPr>
          <w:rFonts w:ascii="Times New Roman" w:eastAsia="Arial" w:hAnsi="Times New Roman" w:cs="Times New Roman"/>
          <w:color w:val="000000"/>
          <w:sz w:val="24"/>
          <w:szCs w:val="24"/>
        </w:rPr>
        <w:t xml:space="preserve"> compensation based on</w:t>
      </w:r>
      <w:r w:rsidR="00AE6512" w:rsidRPr="00620207">
        <w:rPr>
          <w:rFonts w:ascii="Times New Roman" w:eastAsia="Arial" w:hAnsi="Times New Roman" w:cs="Times New Roman"/>
          <w:color w:val="000000"/>
          <w:sz w:val="24"/>
          <w:szCs w:val="24"/>
        </w:rPr>
        <w:t xml:space="preserve"> admissible evidence.</w:t>
      </w:r>
      <w:r w:rsidR="00AE6512" w:rsidRPr="00620207">
        <w:rPr>
          <w:rFonts w:ascii="Times New Roman" w:eastAsia="Arial" w:hAnsi="Times New Roman" w:cs="Times New Roman"/>
          <w:color w:val="000000"/>
          <w:sz w:val="24"/>
          <w:szCs w:val="24"/>
          <w:vertAlign w:val="superscript"/>
        </w:rPr>
        <w:footnoteReference w:id="1"/>
      </w:r>
      <w:r w:rsidR="00DB6C7D">
        <w:rPr>
          <w:rFonts w:ascii="Times New Roman" w:eastAsia="Arial" w:hAnsi="Times New Roman" w:cs="Times New Roman"/>
          <w:color w:val="000000"/>
          <w:sz w:val="24"/>
          <w:szCs w:val="24"/>
        </w:rPr>
        <w:t xml:space="preserve"> </w:t>
      </w:r>
      <w:proofErr w:type="spellStart"/>
      <w:r w:rsidR="005322E4" w:rsidRPr="00966C3A">
        <w:rPr>
          <w:rFonts w:ascii="Times New Roman" w:eastAsia="Arial" w:hAnsi="Times New Roman" w:cs="Times New Roman"/>
          <w:color w:val="000000"/>
          <w:sz w:val="24"/>
          <w:szCs w:val="24"/>
          <w:u w:val="single"/>
        </w:rPr>
        <w:t>Liosi</w:t>
      </w:r>
      <w:proofErr w:type="spellEnd"/>
      <w:r w:rsidR="005322E4" w:rsidRPr="00966C3A">
        <w:rPr>
          <w:rFonts w:ascii="Times New Roman" w:eastAsia="Arial" w:hAnsi="Times New Roman" w:cs="Times New Roman"/>
          <w:color w:val="000000"/>
          <w:sz w:val="24"/>
          <w:szCs w:val="24"/>
          <w:u w:val="single"/>
        </w:rPr>
        <w:t xml:space="preserve"> v. Vaccaro</w:t>
      </w:r>
      <w:r w:rsidR="005322E4" w:rsidRPr="005322E4">
        <w:rPr>
          <w:rFonts w:ascii="Times New Roman" w:eastAsia="Arial" w:hAnsi="Times New Roman" w:cs="Times New Roman"/>
          <w:color w:val="000000"/>
          <w:sz w:val="24"/>
          <w:szCs w:val="24"/>
        </w:rPr>
        <w:t>, 35</w:t>
      </w:r>
      <w:r w:rsidR="007168A1">
        <w:rPr>
          <w:rFonts w:ascii="Times New Roman" w:eastAsia="Arial" w:hAnsi="Times New Roman" w:cs="Times New Roman"/>
          <w:color w:val="000000"/>
          <w:sz w:val="24"/>
          <w:szCs w:val="24"/>
        </w:rPr>
        <w:t> </w:t>
      </w:r>
      <w:r w:rsidR="005322E4" w:rsidRPr="005322E4">
        <w:rPr>
          <w:rFonts w:ascii="Times New Roman" w:eastAsia="Arial" w:hAnsi="Times New Roman" w:cs="Times New Roman"/>
          <w:color w:val="000000"/>
          <w:sz w:val="24"/>
          <w:szCs w:val="24"/>
        </w:rPr>
        <w:t>A.D.2d</w:t>
      </w:r>
      <w:r w:rsidR="007168A1">
        <w:rPr>
          <w:rFonts w:ascii="Times New Roman" w:eastAsia="Arial" w:hAnsi="Times New Roman" w:cs="Times New Roman"/>
          <w:color w:val="000000"/>
          <w:sz w:val="24"/>
          <w:szCs w:val="24"/>
        </w:rPr>
        <w:t> </w:t>
      </w:r>
      <w:r w:rsidR="005322E4" w:rsidRPr="005322E4">
        <w:rPr>
          <w:rFonts w:ascii="Times New Roman" w:eastAsia="Arial" w:hAnsi="Times New Roman" w:cs="Times New Roman"/>
          <w:color w:val="000000"/>
          <w:sz w:val="24"/>
          <w:szCs w:val="24"/>
        </w:rPr>
        <w:t xml:space="preserve">790, 315 N.Y.S.2d 225, 226 (1st </w:t>
      </w:r>
      <w:proofErr w:type="spellStart"/>
      <w:r w:rsidR="005322E4" w:rsidRPr="005322E4">
        <w:rPr>
          <w:rFonts w:ascii="Times New Roman" w:eastAsia="Arial" w:hAnsi="Times New Roman" w:cs="Times New Roman"/>
          <w:color w:val="000000"/>
          <w:sz w:val="24"/>
          <w:szCs w:val="24"/>
        </w:rPr>
        <w:t>Dep’t</w:t>
      </w:r>
      <w:proofErr w:type="spellEnd"/>
      <w:r w:rsidR="005322E4" w:rsidRPr="005322E4">
        <w:rPr>
          <w:rFonts w:ascii="Times New Roman" w:eastAsia="Arial" w:hAnsi="Times New Roman" w:cs="Times New Roman"/>
          <w:color w:val="000000"/>
          <w:sz w:val="24"/>
          <w:szCs w:val="24"/>
        </w:rPr>
        <w:t xml:space="preserve"> 1970); </w:t>
      </w:r>
      <w:r w:rsidR="005322E4" w:rsidRPr="00966C3A">
        <w:rPr>
          <w:rFonts w:ascii="Times New Roman" w:eastAsia="Arial" w:hAnsi="Times New Roman" w:cs="Times New Roman"/>
          <w:color w:val="000000"/>
          <w:sz w:val="24"/>
          <w:szCs w:val="24"/>
          <w:u w:val="single"/>
        </w:rPr>
        <w:t xml:space="preserve">Weintraub v. </w:t>
      </w:r>
      <w:proofErr w:type="spellStart"/>
      <w:r w:rsidR="005322E4" w:rsidRPr="00966C3A">
        <w:rPr>
          <w:rFonts w:ascii="Times New Roman" w:eastAsia="Arial" w:hAnsi="Times New Roman" w:cs="Times New Roman"/>
          <w:color w:val="000000"/>
          <w:sz w:val="24"/>
          <w:szCs w:val="24"/>
          <w:u w:val="single"/>
        </w:rPr>
        <w:t>Zabotinsky</w:t>
      </w:r>
      <w:proofErr w:type="spellEnd"/>
      <w:r w:rsidR="005322E4" w:rsidRPr="005322E4">
        <w:rPr>
          <w:rFonts w:ascii="Times New Roman" w:eastAsia="Arial" w:hAnsi="Times New Roman" w:cs="Times New Roman"/>
          <w:color w:val="000000"/>
          <w:sz w:val="24"/>
          <w:szCs w:val="24"/>
        </w:rPr>
        <w:t>, 19</w:t>
      </w:r>
      <w:r w:rsidR="007168A1">
        <w:rPr>
          <w:rFonts w:ascii="Times New Roman" w:eastAsia="Arial" w:hAnsi="Times New Roman" w:cs="Times New Roman"/>
          <w:color w:val="000000"/>
          <w:sz w:val="24"/>
          <w:szCs w:val="24"/>
        </w:rPr>
        <w:t> </w:t>
      </w:r>
      <w:r w:rsidR="005322E4" w:rsidRPr="005322E4">
        <w:rPr>
          <w:rFonts w:ascii="Times New Roman" w:eastAsia="Arial" w:hAnsi="Times New Roman" w:cs="Times New Roman"/>
          <w:color w:val="000000"/>
          <w:sz w:val="24"/>
          <w:szCs w:val="24"/>
        </w:rPr>
        <w:t>A.D.2d</w:t>
      </w:r>
      <w:r w:rsidR="007168A1">
        <w:rPr>
          <w:rFonts w:ascii="Times New Roman" w:eastAsia="Arial" w:hAnsi="Times New Roman" w:cs="Times New Roman"/>
          <w:color w:val="000000"/>
          <w:sz w:val="24"/>
          <w:szCs w:val="24"/>
        </w:rPr>
        <w:t> </w:t>
      </w:r>
      <w:r w:rsidR="005322E4" w:rsidRPr="005322E4">
        <w:rPr>
          <w:rFonts w:ascii="Times New Roman" w:eastAsia="Arial" w:hAnsi="Times New Roman" w:cs="Times New Roman"/>
          <w:color w:val="000000"/>
          <w:sz w:val="24"/>
          <w:szCs w:val="24"/>
        </w:rPr>
        <w:t xml:space="preserve">906, 244 N.Y.S.2d 905 (2d </w:t>
      </w:r>
      <w:proofErr w:type="spellStart"/>
      <w:r w:rsidR="005322E4" w:rsidRPr="005322E4">
        <w:rPr>
          <w:rFonts w:ascii="Times New Roman" w:eastAsia="Arial" w:hAnsi="Times New Roman" w:cs="Times New Roman"/>
          <w:color w:val="000000"/>
          <w:sz w:val="24"/>
          <w:szCs w:val="24"/>
        </w:rPr>
        <w:t>Dep’t</w:t>
      </w:r>
      <w:proofErr w:type="spellEnd"/>
      <w:r w:rsidR="005322E4" w:rsidRPr="005322E4">
        <w:rPr>
          <w:rFonts w:ascii="Times New Roman" w:eastAsia="Arial" w:hAnsi="Times New Roman" w:cs="Times New Roman"/>
          <w:color w:val="000000"/>
          <w:sz w:val="24"/>
          <w:szCs w:val="24"/>
        </w:rPr>
        <w:t xml:space="preserve"> 1963)</w:t>
      </w:r>
      <w:r w:rsidR="00DB6C7D">
        <w:rPr>
          <w:rFonts w:ascii="Times New Roman" w:eastAsia="Arial" w:hAnsi="Times New Roman" w:cs="Times New Roman"/>
          <w:color w:val="000000"/>
          <w:sz w:val="24"/>
          <w:szCs w:val="24"/>
        </w:rPr>
        <w:t xml:space="preserve">; </w:t>
      </w:r>
      <w:r w:rsidR="001E3B51">
        <w:rPr>
          <w:rFonts w:ascii="Times New Roman" w:eastAsia="Arial" w:hAnsi="Times New Roman" w:cs="Times New Roman"/>
          <w:color w:val="000000"/>
          <w:sz w:val="24"/>
          <w:szCs w:val="24"/>
          <w:u w:val="single"/>
        </w:rPr>
        <w:t>See</w:t>
      </w:r>
      <w:r w:rsidR="001E3B51">
        <w:rPr>
          <w:rFonts w:ascii="Times New Roman" w:eastAsia="Arial" w:hAnsi="Times New Roman" w:cs="Times New Roman"/>
          <w:color w:val="000000"/>
          <w:sz w:val="24"/>
          <w:szCs w:val="24"/>
        </w:rPr>
        <w:t xml:space="preserve"> </w:t>
      </w:r>
      <w:r w:rsidR="001E3B51" w:rsidRPr="001E3B51">
        <w:rPr>
          <w:rFonts w:ascii="Times New Roman" w:eastAsia="Arial" w:hAnsi="Times New Roman" w:cs="Times New Roman"/>
          <w:color w:val="000000"/>
          <w:sz w:val="24"/>
          <w:szCs w:val="24"/>
          <w:u w:val="single"/>
        </w:rPr>
        <w:t>McDougald v. Garber</w:t>
      </w:r>
      <w:r w:rsidR="001E3B51" w:rsidRPr="001E3B51">
        <w:rPr>
          <w:rFonts w:ascii="Times New Roman" w:eastAsia="Arial" w:hAnsi="Times New Roman" w:cs="Times New Roman"/>
          <w:color w:val="000000"/>
          <w:sz w:val="24"/>
          <w:szCs w:val="24"/>
        </w:rPr>
        <w:t>, 73 N.Y.2d 246, 253 (1989)</w:t>
      </w:r>
      <w:r w:rsidR="001E3B51">
        <w:rPr>
          <w:rFonts w:ascii="Times New Roman" w:eastAsia="Arial" w:hAnsi="Times New Roman" w:cs="Times New Roman"/>
          <w:color w:val="000000"/>
          <w:sz w:val="24"/>
          <w:szCs w:val="24"/>
        </w:rPr>
        <w:t xml:space="preserve">; </w:t>
      </w:r>
      <w:r w:rsidR="001E3B51" w:rsidRPr="001E3B51">
        <w:rPr>
          <w:rFonts w:ascii="Times New Roman" w:eastAsia="Arial" w:hAnsi="Times New Roman" w:cs="Times New Roman"/>
          <w:color w:val="000000"/>
          <w:sz w:val="24"/>
          <w:szCs w:val="24"/>
          <w:u w:val="single"/>
        </w:rPr>
        <w:t>Lopez v. City of New York</w:t>
      </w:r>
      <w:r w:rsidR="001E3B51" w:rsidRPr="001E3B51">
        <w:rPr>
          <w:rFonts w:ascii="Times New Roman" w:eastAsia="Arial" w:hAnsi="Times New Roman" w:cs="Times New Roman"/>
          <w:color w:val="000000"/>
          <w:sz w:val="24"/>
          <w:szCs w:val="24"/>
        </w:rPr>
        <w:t xml:space="preserve">, 192 A.D.3d 634, 640 (1st </w:t>
      </w:r>
      <w:proofErr w:type="spellStart"/>
      <w:r w:rsidR="001E3B51" w:rsidRPr="001E3B51">
        <w:rPr>
          <w:rFonts w:ascii="Times New Roman" w:eastAsia="Arial" w:hAnsi="Times New Roman" w:cs="Times New Roman"/>
          <w:color w:val="000000"/>
          <w:sz w:val="24"/>
          <w:szCs w:val="24"/>
        </w:rPr>
        <w:t>Dep</w:t>
      </w:r>
      <w:r w:rsidR="00D5580F">
        <w:rPr>
          <w:rFonts w:ascii="Times New Roman" w:eastAsia="Arial" w:hAnsi="Times New Roman" w:cs="Times New Roman"/>
          <w:color w:val="000000"/>
          <w:sz w:val="24"/>
          <w:szCs w:val="24"/>
        </w:rPr>
        <w:t>’t</w:t>
      </w:r>
      <w:proofErr w:type="spellEnd"/>
      <w:r w:rsidR="001E3B51" w:rsidRPr="001E3B51">
        <w:rPr>
          <w:rFonts w:ascii="Times New Roman" w:eastAsia="Arial" w:hAnsi="Times New Roman" w:cs="Times New Roman"/>
          <w:color w:val="000000"/>
          <w:sz w:val="24"/>
          <w:szCs w:val="24"/>
        </w:rPr>
        <w:t xml:space="preserve"> 2021)</w:t>
      </w:r>
      <w:r w:rsidR="00D5580F">
        <w:rPr>
          <w:rFonts w:ascii="Times New Roman" w:eastAsia="Arial" w:hAnsi="Times New Roman" w:cs="Times New Roman"/>
          <w:color w:val="000000"/>
          <w:sz w:val="24"/>
          <w:szCs w:val="24"/>
        </w:rPr>
        <w:t xml:space="preserve">; </w:t>
      </w:r>
      <w:r w:rsidR="00966C3A" w:rsidRPr="00C651A2">
        <w:rPr>
          <w:rFonts w:ascii="Times New Roman" w:eastAsia="Arial" w:hAnsi="Times New Roman" w:cs="Times New Roman"/>
          <w:color w:val="000000"/>
          <w:sz w:val="24"/>
          <w:szCs w:val="24"/>
          <w:u w:val="single"/>
        </w:rPr>
        <w:t>People v. Wood</w:t>
      </w:r>
      <w:r w:rsidR="00966C3A" w:rsidRPr="00966C3A">
        <w:rPr>
          <w:rFonts w:ascii="Times New Roman" w:eastAsia="Arial" w:hAnsi="Times New Roman" w:cs="Times New Roman"/>
          <w:color w:val="000000"/>
          <w:sz w:val="24"/>
          <w:szCs w:val="24"/>
        </w:rPr>
        <w:t>, 79</w:t>
      </w:r>
      <w:r w:rsidR="00326D6F">
        <w:rPr>
          <w:rFonts w:ascii="Times New Roman" w:eastAsia="Arial" w:hAnsi="Times New Roman" w:cs="Times New Roman"/>
          <w:color w:val="000000"/>
          <w:sz w:val="24"/>
          <w:szCs w:val="24"/>
        </w:rPr>
        <w:t> </w:t>
      </w:r>
      <w:r w:rsidR="00966C3A" w:rsidRPr="00966C3A">
        <w:rPr>
          <w:rFonts w:ascii="Times New Roman" w:eastAsia="Arial" w:hAnsi="Times New Roman" w:cs="Times New Roman"/>
          <w:color w:val="000000"/>
          <w:sz w:val="24"/>
          <w:szCs w:val="24"/>
        </w:rPr>
        <w:t>N.Y.2d 958, 960</w:t>
      </w:r>
      <w:r w:rsidR="009937BC">
        <w:rPr>
          <w:rFonts w:ascii="Times New Roman" w:eastAsia="Arial" w:hAnsi="Times New Roman" w:cs="Times New Roman"/>
          <w:color w:val="000000"/>
          <w:sz w:val="24"/>
          <w:szCs w:val="24"/>
        </w:rPr>
        <w:t xml:space="preserve"> (1992)</w:t>
      </w:r>
      <w:r w:rsidR="001903A4">
        <w:rPr>
          <w:rFonts w:ascii="Times New Roman" w:eastAsia="Arial" w:hAnsi="Times New Roman" w:cs="Times New Roman"/>
          <w:color w:val="000000"/>
          <w:sz w:val="24"/>
          <w:szCs w:val="24"/>
        </w:rPr>
        <w:t xml:space="preserve">. </w:t>
      </w:r>
      <w:r w:rsidR="003F2F63">
        <w:rPr>
          <w:rFonts w:ascii="Times New Roman" w:eastAsia="Arial" w:hAnsi="Times New Roman" w:cs="Times New Roman"/>
          <w:color w:val="000000"/>
          <w:sz w:val="24"/>
          <w:szCs w:val="24"/>
        </w:rPr>
        <w:t xml:space="preserve">These themes are verboten </w:t>
      </w:r>
      <w:r w:rsidR="00011A08">
        <w:rPr>
          <w:rFonts w:ascii="Times New Roman" w:eastAsia="Arial" w:hAnsi="Times New Roman" w:cs="Times New Roman"/>
          <w:color w:val="000000"/>
          <w:sz w:val="24"/>
          <w:szCs w:val="24"/>
        </w:rPr>
        <w:t xml:space="preserve">in civil actions </w:t>
      </w:r>
      <w:r w:rsidR="003F2F63">
        <w:rPr>
          <w:rFonts w:ascii="Times New Roman" w:eastAsia="Arial" w:hAnsi="Times New Roman" w:cs="Times New Roman"/>
          <w:color w:val="000000"/>
          <w:sz w:val="24"/>
          <w:szCs w:val="24"/>
        </w:rPr>
        <w:t>nationwide</w:t>
      </w:r>
      <w:r w:rsidR="003F2F63">
        <w:rPr>
          <w:rStyle w:val="FootnoteReference"/>
          <w:rFonts w:ascii="Times New Roman" w:eastAsia="Arial" w:hAnsi="Times New Roman" w:cs="Times New Roman"/>
          <w:color w:val="000000"/>
          <w:sz w:val="24"/>
          <w:szCs w:val="24"/>
        </w:rPr>
        <w:footnoteReference w:id="2"/>
      </w:r>
      <w:r w:rsidR="003F2F63">
        <w:rPr>
          <w:rFonts w:ascii="Times New Roman" w:eastAsia="Arial" w:hAnsi="Times New Roman" w:cs="Times New Roman"/>
          <w:color w:val="000000"/>
          <w:sz w:val="24"/>
          <w:szCs w:val="24"/>
        </w:rPr>
        <w:t>.</w:t>
      </w:r>
    </w:p>
    <w:p w14:paraId="278704E5" w14:textId="4FB307CD" w:rsidR="00AE6512" w:rsidRDefault="00AE6512" w:rsidP="00966C3A">
      <w:pPr>
        <w:spacing w:after="0" w:line="480" w:lineRule="auto"/>
        <w:ind w:firstLine="720"/>
        <w:contextualSpacing/>
        <w:jc w:val="both"/>
        <w:rPr>
          <w:rFonts w:ascii="Times New Roman" w:eastAsia="Arial" w:hAnsi="Times New Roman" w:cs="Times New Roman"/>
          <w:color w:val="000000"/>
          <w:sz w:val="24"/>
          <w:szCs w:val="24"/>
        </w:rPr>
      </w:pPr>
      <w:r w:rsidRPr="00620207">
        <w:rPr>
          <w:rFonts w:ascii="Times New Roman" w:eastAsia="Arial" w:hAnsi="Times New Roman" w:cs="Times New Roman"/>
          <w:color w:val="000000"/>
          <w:sz w:val="24"/>
          <w:szCs w:val="24"/>
        </w:rPr>
        <w:t>Defendants thus ask that the Court preclude counsel from referring to unspecified “safety rules” or “community danger”</w:t>
      </w:r>
      <w:r w:rsidR="009556FF">
        <w:rPr>
          <w:rFonts w:ascii="Times New Roman" w:eastAsia="Arial" w:hAnsi="Times New Roman" w:cs="Times New Roman"/>
          <w:color w:val="000000"/>
          <w:sz w:val="24"/>
          <w:szCs w:val="24"/>
        </w:rPr>
        <w:t xml:space="preserve"> in all its forms</w:t>
      </w:r>
      <w:r w:rsidRPr="00620207">
        <w:rPr>
          <w:rFonts w:ascii="Times New Roman" w:eastAsia="Arial" w:hAnsi="Times New Roman" w:cs="Times New Roman"/>
          <w:color w:val="000000"/>
          <w:sz w:val="24"/>
          <w:szCs w:val="24"/>
        </w:rPr>
        <w:t>,</w:t>
      </w:r>
      <w:r w:rsidR="009556FF">
        <w:rPr>
          <w:rFonts w:ascii="Times New Roman" w:eastAsia="Arial" w:hAnsi="Times New Roman" w:cs="Times New Roman"/>
          <w:color w:val="000000"/>
          <w:sz w:val="24"/>
          <w:szCs w:val="24"/>
        </w:rPr>
        <w:t xml:space="preserve"> whether as</w:t>
      </w:r>
      <w:r w:rsidRPr="00620207">
        <w:rPr>
          <w:rFonts w:ascii="Times New Roman" w:eastAsia="Arial" w:hAnsi="Times New Roman" w:cs="Times New Roman"/>
          <w:color w:val="000000"/>
          <w:sz w:val="24"/>
          <w:szCs w:val="24"/>
        </w:rPr>
        <w:t xml:space="preserve"> calls for the jury to act for public safety or the voice or conscience of the community, and that “you can make it stop [defendant’s failure to accept responsibility or its negligent conduct] with your verdict”, references to the maximum harm that Defendants’ conduct could have caused (rather than the harm the evidence shows occurred), references to “sending a message” or “awarding the full measure of justice” or “100% justice”,</w:t>
      </w:r>
      <w:r w:rsidRPr="00620207">
        <w:rPr>
          <w:rStyle w:val="FootnoteTextChar"/>
          <w:rFonts w:eastAsia="Arial"/>
          <w:color w:val="000000"/>
          <w:sz w:val="24"/>
          <w:szCs w:val="24"/>
        </w:rPr>
        <w:t xml:space="preserve"> </w:t>
      </w:r>
      <w:r w:rsidRPr="00620207">
        <w:rPr>
          <w:rFonts w:ascii="Times New Roman" w:eastAsia="Arial" w:hAnsi="Times New Roman" w:cs="Times New Roman"/>
          <w:color w:val="000000"/>
          <w:sz w:val="24"/>
          <w:szCs w:val="24"/>
        </w:rPr>
        <w:t>or protecting the community from future similar incidents, and references to “two standards of care” – one of which protects the community from tortfeasors and one which the law wrongly uses to shield tortfeasors from paying.</w:t>
      </w:r>
    </w:p>
    <w:p w14:paraId="4AC3CBD3" w14:textId="14A1BCC1" w:rsidR="001643A7" w:rsidRDefault="009813A4" w:rsidP="00966C3A">
      <w:pPr>
        <w:spacing w:after="0" w:line="480" w:lineRule="auto"/>
        <w:ind w:firstLine="720"/>
        <w:contextualSpacing/>
        <w:jc w:val="both"/>
        <w:rPr>
          <w:rFonts w:ascii="Times New Roman" w:hAnsi="Times New Roman" w:cs="Times New Roman"/>
          <w:sz w:val="24"/>
          <w:szCs w:val="24"/>
        </w:rPr>
      </w:pPr>
      <w:r>
        <w:rPr>
          <w:rFonts w:ascii="Times New Roman" w:eastAsia="Arial" w:hAnsi="Times New Roman" w:cs="Times New Roman"/>
          <w:color w:val="000000"/>
          <w:sz w:val="24"/>
          <w:szCs w:val="24"/>
        </w:rPr>
        <w:t>A pre-trial prohibition on invocations o</w:t>
      </w:r>
      <w:r w:rsidR="00067EC0">
        <w:rPr>
          <w:rFonts w:ascii="Times New Roman" w:eastAsia="Arial" w:hAnsi="Times New Roman" w:cs="Times New Roman"/>
          <w:color w:val="000000"/>
          <w:sz w:val="24"/>
          <w:szCs w:val="24"/>
        </w:rPr>
        <w:t xml:space="preserve">f these </w:t>
      </w:r>
      <w:r w:rsidR="00CC08CD">
        <w:rPr>
          <w:rFonts w:ascii="Times New Roman" w:eastAsia="Arial" w:hAnsi="Times New Roman" w:cs="Times New Roman"/>
          <w:color w:val="000000"/>
          <w:sz w:val="24"/>
          <w:szCs w:val="24"/>
        </w:rPr>
        <w:t>and related</w:t>
      </w:r>
      <w:r w:rsidR="00AA4AD2">
        <w:rPr>
          <w:rFonts w:ascii="Times New Roman" w:eastAsia="Arial" w:hAnsi="Times New Roman" w:cs="Times New Roman"/>
          <w:color w:val="000000"/>
          <w:sz w:val="24"/>
          <w:szCs w:val="24"/>
        </w:rPr>
        <w:t xml:space="preserve"> themes</w:t>
      </w:r>
      <w:r>
        <w:rPr>
          <w:rFonts w:ascii="Times New Roman" w:eastAsia="Arial" w:hAnsi="Times New Roman" w:cs="Times New Roman"/>
          <w:color w:val="000000"/>
          <w:sz w:val="24"/>
          <w:szCs w:val="24"/>
        </w:rPr>
        <w:t xml:space="preserve"> is necessary</w:t>
      </w:r>
      <w:r w:rsidR="001643A7">
        <w:rPr>
          <w:rFonts w:ascii="Times New Roman" w:hAnsi="Times New Roman"/>
          <w:kern w:val="0"/>
          <w:sz w:val="24"/>
          <w14:ligatures w14:val="none"/>
        </w:rPr>
        <w:t xml:space="preserve"> because it is impossible to adequately cure after-the-fact. A curative instruction is categorically insufficient when the impropriety is “</w:t>
      </w:r>
      <w:r w:rsidR="001643A7" w:rsidRPr="00FC1984">
        <w:rPr>
          <w:rFonts w:ascii="Times New Roman" w:hAnsi="Times New Roman"/>
          <w:kern w:val="0"/>
          <w:sz w:val="24"/>
          <w14:ligatures w14:val="none"/>
        </w:rPr>
        <w:t>so dangerous as to require a reversal even when the court strikes it from the record and directs the jury to disregard it, unless it clearly appears that it could not have influenced the verdict.</w:t>
      </w:r>
      <w:r w:rsidR="001643A7">
        <w:rPr>
          <w:rFonts w:ascii="Times New Roman" w:hAnsi="Times New Roman"/>
          <w:kern w:val="0"/>
          <w:sz w:val="24"/>
          <w14:ligatures w14:val="none"/>
        </w:rPr>
        <w:t xml:space="preserve">” </w:t>
      </w:r>
      <w:r w:rsidR="001643A7" w:rsidRPr="00FC1984">
        <w:rPr>
          <w:rFonts w:ascii="Times New Roman" w:hAnsi="Times New Roman"/>
          <w:kern w:val="0"/>
          <w:sz w:val="24"/>
          <w:u w:val="single"/>
          <w14:ligatures w14:val="none"/>
        </w:rPr>
        <w:t>Simpson v. Foundation Co.</w:t>
      </w:r>
      <w:r w:rsidR="001643A7" w:rsidRPr="00FC1984">
        <w:rPr>
          <w:rFonts w:ascii="Times New Roman" w:hAnsi="Times New Roman"/>
          <w:kern w:val="0"/>
          <w:sz w:val="24"/>
          <w14:ligatures w14:val="none"/>
        </w:rPr>
        <w:t>, 201 N.Y. 479, 490</w:t>
      </w:r>
      <w:r w:rsidR="001643A7">
        <w:rPr>
          <w:rFonts w:ascii="Times New Roman" w:hAnsi="Times New Roman"/>
          <w:kern w:val="0"/>
          <w:sz w:val="24"/>
          <w14:ligatures w14:val="none"/>
        </w:rPr>
        <w:t xml:space="preserve"> (1911). Once the jury has had its emotions riled to feel personally threatened by defendants’ actions, no curative instruction can realistically keep it from influencing their emotions or their reasoning. Even with the extensive professional training this is something attorneys and judges struggle to do; it is simply unrealistic to expect a jury without that training and experience to succeed </w:t>
      </w:r>
      <w:r w:rsidR="00E33C43">
        <w:rPr>
          <w:rFonts w:ascii="Times New Roman" w:hAnsi="Times New Roman"/>
          <w:kern w:val="0"/>
          <w:sz w:val="24"/>
          <w14:ligatures w14:val="none"/>
        </w:rPr>
        <w:t>at</w:t>
      </w:r>
      <w:r w:rsidR="001643A7">
        <w:rPr>
          <w:rFonts w:ascii="Times New Roman" w:hAnsi="Times New Roman"/>
          <w:kern w:val="0"/>
          <w:sz w:val="24"/>
          <w14:ligatures w14:val="none"/>
        </w:rPr>
        <w:t xml:space="preserve"> keeping fear tactics from influencing them</w:t>
      </w:r>
      <w:r w:rsidR="00465297">
        <w:rPr>
          <w:rFonts w:ascii="Times New Roman" w:hAnsi="Times New Roman"/>
          <w:kern w:val="0"/>
          <w:sz w:val="24"/>
          <w14:ligatures w14:val="none"/>
        </w:rPr>
        <w:t xml:space="preserve"> even if a court tells the jury to do so</w:t>
      </w:r>
      <w:r w:rsidR="00C92272">
        <w:rPr>
          <w:rFonts w:ascii="Times New Roman" w:hAnsi="Times New Roman"/>
          <w:kern w:val="0"/>
          <w:sz w:val="24"/>
          <w14:ligatures w14:val="none"/>
        </w:rPr>
        <w:t xml:space="preserve">, just as it is unrealistic to expect jurors to succeed at setting aside the implications of insurance coverage – reversible error itself. </w:t>
      </w:r>
      <w:r w:rsidR="00C92272">
        <w:rPr>
          <w:rFonts w:ascii="Times New Roman" w:hAnsi="Times New Roman"/>
          <w:kern w:val="0"/>
          <w:sz w:val="24"/>
          <w:u w:val="single"/>
          <w14:ligatures w14:val="none"/>
        </w:rPr>
        <w:t>See</w:t>
      </w:r>
      <w:r w:rsidR="00C92272">
        <w:rPr>
          <w:rFonts w:ascii="Times New Roman" w:hAnsi="Times New Roman"/>
          <w:kern w:val="0"/>
          <w:sz w:val="24"/>
          <w14:ligatures w14:val="none"/>
        </w:rPr>
        <w:t xml:space="preserve"> </w:t>
      </w:r>
      <w:r w:rsidR="00C92272" w:rsidRPr="00FC1984">
        <w:rPr>
          <w:rFonts w:ascii="Times New Roman" w:hAnsi="Times New Roman"/>
          <w:kern w:val="0"/>
          <w:sz w:val="24"/>
          <w:u w:val="single"/>
          <w14:ligatures w14:val="none"/>
        </w:rPr>
        <w:t>Simpson</w:t>
      </w:r>
      <w:r w:rsidR="00C92272" w:rsidRPr="00FC1984">
        <w:rPr>
          <w:rFonts w:ascii="Times New Roman" w:hAnsi="Times New Roman"/>
          <w:kern w:val="0"/>
          <w:sz w:val="24"/>
          <w14:ligatures w14:val="none"/>
        </w:rPr>
        <w:t xml:space="preserve">, 201 N.Y. </w:t>
      </w:r>
      <w:r w:rsidR="00C92272">
        <w:rPr>
          <w:rFonts w:ascii="Times New Roman" w:hAnsi="Times New Roman"/>
          <w:kern w:val="0"/>
          <w:sz w:val="24"/>
          <w14:ligatures w14:val="none"/>
        </w:rPr>
        <w:t>at</w:t>
      </w:r>
      <w:r w:rsidR="00C92272" w:rsidRPr="00FC1984">
        <w:rPr>
          <w:rFonts w:ascii="Times New Roman" w:hAnsi="Times New Roman"/>
          <w:kern w:val="0"/>
          <w:sz w:val="24"/>
          <w14:ligatures w14:val="none"/>
        </w:rPr>
        <w:t xml:space="preserve"> 490</w:t>
      </w:r>
      <w:r w:rsidR="00C92272">
        <w:rPr>
          <w:rFonts w:ascii="Times New Roman" w:hAnsi="Times New Roman"/>
          <w:kern w:val="0"/>
          <w:sz w:val="24"/>
          <w14:ligatures w14:val="none"/>
        </w:rPr>
        <w:t xml:space="preserve">; </w:t>
      </w:r>
      <w:r w:rsidR="00C92272" w:rsidRPr="00284AC2">
        <w:rPr>
          <w:rFonts w:ascii="Times New Roman" w:hAnsi="Times New Roman" w:cs="Times New Roman"/>
          <w:sz w:val="24"/>
          <w:szCs w:val="24"/>
          <w:u w:val="single"/>
        </w:rPr>
        <w:t>Consorti v. Armstrong World Indus.</w:t>
      </w:r>
      <w:r w:rsidR="00C92272" w:rsidRPr="003D1708">
        <w:rPr>
          <w:rFonts w:ascii="Times New Roman" w:hAnsi="Times New Roman" w:cs="Times New Roman"/>
          <w:sz w:val="24"/>
          <w:szCs w:val="24"/>
        </w:rPr>
        <w:t>, 72</w:t>
      </w:r>
      <w:r w:rsidR="00326D6F">
        <w:rPr>
          <w:rFonts w:ascii="Times New Roman" w:hAnsi="Times New Roman" w:cs="Times New Roman"/>
          <w:sz w:val="24"/>
          <w:szCs w:val="24"/>
        </w:rPr>
        <w:t> </w:t>
      </w:r>
      <w:r w:rsidR="00C92272" w:rsidRPr="003D1708">
        <w:rPr>
          <w:rFonts w:ascii="Times New Roman" w:hAnsi="Times New Roman" w:cs="Times New Roman"/>
          <w:sz w:val="24"/>
          <w:szCs w:val="24"/>
        </w:rPr>
        <w:t xml:space="preserve">F.3d 1003, </w:t>
      </w:r>
      <w:r w:rsidR="00C92272" w:rsidRPr="00372A3D">
        <w:rPr>
          <w:rFonts w:ascii="Times New Roman" w:hAnsi="Times New Roman"/>
          <w:kern w:val="0"/>
          <w:sz w:val="24"/>
          <w14:ligatures w14:val="none"/>
        </w:rPr>
        <w:t>1009</w:t>
      </w:r>
      <w:r w:rsidR="00C92272">
        <w:rPr>
          <w:rFonts w:ascii="Times New Roman" w:hAnsi="Times New Roman"/>
          <w:kern w:val="0"/>
          <w:sz w:val="24"/>
          <w14:ligatures w14:val="none"/>
        </w:rPr>
        <w:t xml:space="preserve"> fn.2</w:t>
      </w:r>
      <w:r w:rsidR="00C92272">
        <w:rPr>
          <w:rFonts w:ascii="Times New Roman" w:hAnsi="Times New Roman" w:cs="Times New Roman"/>
          <w:sz w:val="24"/>
          <w:szCs w:val="24"/>
        </w:rPr>
        <w:t xml:space="preserve"> (2d Cir. 1995), </w:t>
      </w:r>
      <w:r w:rsidR="00C92272" w:rsidRPr="001D32B8">
        <w:rPr>
          <w:rFonts w:ascii="Times New Roman" w:hAnsi="Times New Roman" w:cs="Times New Roman"/>
          <w:sz w:val="24"/>
          <w:szCs w:val="24"/>
          <w:u w:val="single"/>
        </w:rPr>
        <w:t>vacated on other grounds</w:t>
      </w:r>
      <w:r w:rsidR="00C92272">
        <w:rPr>
          <w:rFonts w:ascii="Times New Roman" w:hAnsi="Times New Roman" w:cs="Times New Roman"/>
          <w:sz w:val="24"/>
          <w:szCs w:val="24"/>
        </w:rPr>
        <w:t xml:space="preserve"> </w:t>
      </w:r>
      <w:r w:rsidR="00C92272" w:rsidRPr="00284AC2">
        <w:rPr>
          <w:rFonts w:ascii="Times New Roman" w:hAnsi="Times New Roman" w:cs="Times New Roman"/>
          <w:sz w:val="24"/>
          <w:szCs w:val="24"/>
        </w:rPr>
        <w:t>518 U.S. 1031</w:t>
      </w:r>
      <w:r w:rsidR="00C92272">
        <w:rPr>
          <w:rFonts w:ascii="Times New Roman" w:hAnsi="Times New Roman" w:cs="Times New Roman"/>
          <w:sz w:val="24"/>
          <w:szCs w:val="24"/>
        </w:rPr>
        <w:t xml:space="preserve"> (1996)</w:t>
      </w:r>
      <w:r w:rsidR="00BB7226">
        <w:rPr>
          <w:rFonts w:ascii="Times New Roman" w:hAnsi="Times New Roman" w:cs="Times New Roman"/>
          <w:sz w:val="24"/>
          <w:szCs w:val="24"/>
        </w:rPr>
        <w:t>.</w:t>
      </w:r>
    </w:p>
    <w:p w14:paraId="01D381D0" w14:textId="63691AD3" w:rsidR="00AE6512" w:rsidRPr="00620207" w:rsidRDefault="00D80842" w:rsidP="00157C50">
      <w:pPr>
        <w:spacing w:after="0" w:line="480" w:lineRule="auto"/>
        <w:ind w:firstLine="720"/>
        <w:contextualSpacing/>
        <w:jc w:val="both"/>
        <w:rPr>
          <w:rFonts w:ascii="Times New Roman" w:eastAsia="Arial" w:hAnsi="Times New Roman" w:cs="Times New Roman"/>
          <w:color w:val="000000"/>
          <w:sz w:val="24"/>
          <w:szCs w:val="24"/>
        </w:rPr>
      </w:pPr>
      <w:r>
        <w:rPr>
          <w:rFonts w:ascii="Times New Roman" w:hAnsi="Times New Roman" w:cs="Times New Roman"/>
          <w:sz w:val="24"/>
          <w:szCs w:val="24"/>
        </w:rPr>
        <w:t xml:space="preserve">At least for issues where it is completely implausible that a lay jury could cleanse itself of any lingering influences, </w:t>
      </w:r>
      <w:r w:rsidR="004D1A87">
        <w:rPr>
          <w:rFonts w:ascii="Times New Roman" w:hAnsi="Times New Roman" w:cs="Times New Roman"/>
          <w:sz w:val="24"/>
          <w:szCs w:val="24"/>
        </w:rPr>
        <w:t>there is inherent and incurable prejudice warranting preclusion before it happens rather than an inevitably insufficient curative instruction</w:t>
      </w:r>
      <w:r w:rsidR="00E960DF">
        <w:rPr>
          <w:rFonts w:ascii="Times New Roman" w:hAnsi="Times New Roman" w:cs="Times New Roman"/>
          <w:sz w:val="24"/>
          <w:szCs w:val="24"/>
        </w:rPr>
        <w:t xml:space="preserve"> and new trial</w:t>
      </w:r>
      <w:r w:rsidR="004D1A87">
        <w:rPr>
          <w:rFonts w:ascii="Times New Roman" w:hAnsi="Times New Roman" w:cs="Times New Roman"/>
          <w:sz w:val="24"/>
          <w:szCs w:val="24"/>
        </w:rPr>
        <w:t xml:space="preserve">. </w:t>
      </w:r>
      <w:r w:rsidR="004D1A87">
        <w:rPr>
          <w:rFonts w:ascii="Times New Roman" w:hAnsi="Times New Roman" w:cs="Times New Roman"/>
          <w:sz w:val="24"/>
          <w:szCs w:val="24"/>
          <w:u w:val="single"/>
        </w:rPr>
        <w:t>See</w:t>
      </w:r>
      <w:r w:rsidR="004D1A87">
        <w:rPr>
          <w:rFonts w:ascii="Times New Roman" w:hAnsi="Times New Roman" w:cs="Times New Roman"/>
          <w:sz w:val="24"/>
          <w:szCs w:val="24"/>
        </w:rPr>
        <w:t xml:space="preserve">, </w:t>
      </w:r>
      <w:r w:rsidR="004D1A87">
        <w:rPr>
          <w:rFonts w:ascii="Times New Roman" w:hAnsi="Times New Roman" w:cs="Times New Roman"/>
          <w:sz w:val="24"/>
          <w:szCs w:val="24"/>
          <w:u w:val="single"/>
        </w:rPr>
        <w:t>e.g.</w:t>
      </w:r>
      <w:r w:rsidR="004D1A87">
        <w:rPr>
          <w:rFonts w:ascii="Times New Roman" w:hAnsi="Times New Roman" w:cs="Times New Roman"/>
          <w:sz w:val="24"/>
          <w:szCs w:val="24"/>
        </w:rPr>
        <w:t xml:space="preserve">, </w:t>
      </w:r>
      <w:proofErr w:type="spellStart"/>
      <w:r w:rsidR="004D1A87" w:rsidRPr="00C651A2">
        <w:rPr>
          <w:rFonts w:ascii="Times New Roman" w:hAnsi="Times New Roman" w:cs="Times New Roman"/>
          <w:sz w:val="24"/>
          <w:szCs w:val="24"/>
          <w:u w:val="single"/>
        </w:rPr>
        <w:t>Hershfeld</w:t>
      </w:r>
      <w:proofErr w:type="spellEnd"/>
      <w:r w:rsidR="004D1A87" w:rsidRPr="00C651A2">
        <w:rPr>
          <w:rFonts w:ascii="Times New Roman" w:hAnsi="Times New Roman" w:cs="Times New Roman"/>
          <w:sz w:val="24"/>
          <w:szCs w:val="24"/>
          <w:u w:val="single"/>
        </w:rPr>
        <w:t xml:space="preserve"> v JM Woodworth Risk Retention Group, Inc.</w:t>
      </w:r>
      <w:r w:rsidR="004D1A87" w:rsidRPr="004D1A87">
        <w:rPr>
          <w:rFonts w:ascii="Times New Roman" w:hAnsi="Times New Roman" w:cs="Times New Roman"/>
          <w:sz w:val="24"/>
          <w:szCs w:val="24"/>
        </w:rPr>
        <w:t>, 164 A.D.3d 1423, 1425</w:t>
      </w:r>
      <w:r w:rsidR="004D1A87">
        <w:rPr>
          <w:rFonts w:ascii="Times New Roman" w:hAnsi="Times New Roman" w:cs="Times New Roman"/>
          <w:sz w:val="24"/>
          <w:szCs w:val="24"/>
        </w:rPr>
        <w:t xml:space="preserve"> (2d Dept. 2018) (mentioning insurance); </w:t>
      </w:r>
      <w:r w:rsidR="004D1A87" w:rsidRPr="00C651A2">
        <w:rPr>
          <w:rFonts w:ascii="Times New Roman" w:hAnsi="Times New Roman" w:cs="Times New Roman"/>
          <w:sz w:val="24"/>
          <w:szCs w:val="24"/>
          <w:u w:val="single"/>
        </w:rPr>
        <w:t>McGinty v Structure-Tone</w:t>
      </w:r>
      <w:r w:rsidR="004D1A87" w:rsidRPr="004D1A87">
        <w:rPr>
          <w:rFonts w:ascii="Times New Roman" w:hAnsi="Times New Roman" w:cs="Times New Roman"/>
          <w:sz w:val="24"/>
          <w:szCs w:val="24"/>
        </w:rPr>
        <w:t>, 140 A.D.3d 465, 466</w:t>
      </w:r>
      <w:r w:rsidR="004D1A87">
        <w:rPr>
          <w:rFonts w:ascii="Times New Roman" w:hAnsi="Times New Roman" w:cs="Times New Roman"/>
          <w:sz w:val="24"/>
          <w:szCs w:val="24"/>
        </w:rPr>
        <w:t xml:space="preserve"> (1st Dept. 2016) (same); </w:t>
      </w:r>
      <w:r w:rsidR="004D1A87" w:rsidRPr="00C651A2">
        <w:rPr>
          <w:rFonts w:ascii="Times New Roman" w:hAnsi="Times New Roman" w:cs="Times New Roman"/>
          <w:sz w:val="24"/>
          <w:szCs w:val="24"/>
          <w:u w:val="single"/>
        </w:rPr>
        <w:t>Mercatante v. Hyster Co.</w:t>
      </w:r>
      <w:r w:rsidR="004D1A87" w:rsidRPr="004D1A87">
        <w:rPr>
          <w:rFonts w:ascii="Times New Roman" w:hAnsi="Times New Roman" w:cs="Times New Roman"/>
          <w:sz w:val="24"/>
          <w:szCs w:val="24"/>
        </w:rPr>
        <w:t>, 159 A.D.2d 492, 493</w:t>
      </w:r>
      <w:r w:rsidR="004D1A87">
        <w:rPr>
          <w:rFonts w:ascii="Times New Roman" w:hAnsi="Times New Roman" w:cs="Times New Roman"/>
          <w:sz w:val="24"/>
          <w:szCs w:val="24"/>
        </w:rPr>
        <w:t xml:space="preserve"> (2d Dept. 1990) (showing video prepared exclusively for trial depicting different conditions than asserted by any party)</w:t>
      </w:r>
      <w:r w:rsidR="00AE0DFC">
        <w:rPr>
          <w:rFonts w:ascii="Times New Roman" w:hAnsi="Times New Roman" w:cs="Times New Roman"/>
          <w:sz w:val="24"/>
          <w:szCs w:val="24"/>
        </w:rPr>
        <w:t xml:space="preserve">; </w:t>
      </w:r>
      <w:proofErr w:type="spellStart"/>
      <w:r w:rsidR="00AE0DFC" w:rsidRPr="00C651A2">
        <w:rPr>
          <w:rFonts w:ascii="Times New Roman" w:hAnsi="Times New Roman" w:cs="Times New Roman"/>
          <w:sz w:val="24"/>
          <w:szCs w:val="24"/>
          <w:u w:val="single"/>
        </w:rPr>
        <w:t>Glusaskas</w:t>
      </w:r>
      <w:proofErr w:type="spellEnd"/>
      <w:r w:rsidR="00AE0DFC" w:rsidRPr="00C651A2">
        <w:rPr>
          <w:rFonts w:ascii="Times New Roman" w:hAnsi="Times New Roman" w:cs="Times New Roman"/>
          <w:sz w:val="24"/>
          <w:szCs w:val="24"/>
          <w:u w:val="single"/>
        </w:rPr>
        <w:t xml:space="preserve"> v. Hutchinson</w:t>
      </w:r>
      <w:r w:rsidR="00AE0DFC" w:rsidRPr="00AE0DFC">
        <w:rPr>
          <w:rFonts w:ascii="Times New Roman" w:hAnsi="Times New Roman" w:cs="Times New Roman"/>
          <w:sz w:val="24"/>
          <w:szCs w:val="24"/>
        </w:rPr>
        <w:t>, 148 A.D.2d 203, 209</w:t>
      </w:r>
      <w:r w:rsidR="00AE0DFC">
        <w:rPr>
          <w:rFonts w:ascii="Times New Roman" w:hAnsi="Times New Roman" w:cs="Times New Roman"/>
          <w:sz w:val="24"/>
          <w:szCs w:val="24"/>
        </w:rPr>
        <w:t xml:space="preserve"> (1st Dept. 1989) (same).</w:t>
      </w:r>
    </w:p>
    <w:p w14:paraId="77D81BD7" w14:textId="335E2984" w:rsidR="00620207" w:rsidRPr="00620207" w:rsidRDefault="00620207" w:rsidP="00157C50">
      <w:pPr>
        <w:spacing w:after="0" w:line="480" w:lineRule="auto"/>
        <w:jc w:val="center"/>
        <w:rPr>
          <w:rFonts w:ascii="Times New Roman" w:eastAsia="Calibri" w:hAnsi="Times New Roman" w:cs="Times New Roman"/>
          <w:sz w:val="24"/>
          <w:szCs w:val="24"/>
          <w:u w:val="single"/>
        </w:rPr>
      </w:pPr>
      <w:r w:rsidRPr="00620207">
        <w:rPr>
          <w:rFonts w:ascii="Times New Roman" w:eastAsia="Calibri" w:hAnsi="Times New Roman" w:cs="Times New Roman"/>
          <w:sz w:val="24"/>
          <w:szCs w:val="24"/>
          <w:u w:val="single"/>
        </w:rPr>
        <w:t>CONCLUSION</w:t>
      </w:r>
    </w:p>
    <w:p w14:paraId="347858AF" w14:textId="6167CF63" w:rsidR="00F04DC1" w:rsidRPr="00620207" w:rsidRDefault="00620207" w:rsidP="00157C50">
      <w:pPr>
        <w:spacing w:after="0" w:line="480" w:lineRule="auto"/>
        <w:ind w:firstLine="720"/>
        <w:jc w:val="both"/>
        <w:rPr>
          <w:rFonts w:ascii="Times New Roman" w:eastAsia="Calibri" w:hAnsi="Times New Roman" w:cs="Times New Roman"/>
          <w:kern w:val="0"/>
          <w:sz w:val="24"/>
          <w:szCs w:val="24"/>
          <w14:ligatures w14:val="none"/>
        </w:rPr>
      </w:pPr>
      <w:r w:rsidRPr="00620207">
        <w:rPr>
          <w:rFonts w:ascii="Times New Roman" w:eastAsia="Calibri" w:hAnsi="Times New Roman" w:cs="Times New Roman"/>
          <w:sz w:val="24"/>
          <w:szCs w:val="24"/>
        </w:rPr>
        <w:t xml:space="preserve">Accordingly, </w:t>
      </w:r>
      <w:r w:rsidR="002F082A">
        <w:rPr>
          <w:rFonts w:ascii="Times New Roman" w:eastAsia="Calibri" w:hAnsi="Times New Roman" w:cs="Times New Roman"/>
          <w:sz w:val="24"/>
          <w:szCs w:val="24"/>
        </w:rPr>
        <w:t>the Court should grant defendant an</w:t>
      </w:r>
      <w:r w:rsidRPr="00620207">
        <w:rPr>
          <w:rFonts w:ascii="Times New Roman" w:eastAsia="Calibri" w:hAnsi="Times New Roman" w:cs="Times New Roman"/>
          <w:sz w:val="24"/>
          <w:szCs w:val="24"/>
        </w:rPr>
        <w:t xml:space="preserve"> Order precluding improper and irrelevant but highly unfairly prejudicial “community safety” and similar-type appeals, commentary, or questions before this jury.</w:t>
      </w:r>
    </w:p>
    <w:p w14:paraId="736A6018" w14:textId="24D79D3D" w:rsidR="009A1E0A" w:rsidRPr="00A14EF8" w:rsidRDefault="009A1E0A" w:rsidP="00F76A82">
      <w:pPr>
        <w:spacing w:after="0" w:line="240" w:lineRule="auto"/>
        <w:contextualSpacing/>
        <w:rPr>
          <w:rFonts w:ascii="Times New Roman" w:eastAsia="Calibri" w:hAnsi="Times New Roman" w:cs="Times New Roman"/>
          <w:kern w:val="0"/>
          <w:sz w:val="24"/>
          <w:szCs w:val="24"/>
          <w:highlight w:val="yellow"/>
          <w14:ligatures w14:val="none"/>
        </w:rPr>
      </w:pPr>
      <w:r w:rsidRPr="00620207">
        <w:rPr>
          <w:rFonts w:ascii="Times New Roman" w:eastAsia="Calibri" w:hAnsi="Times New Roman" w:cs="Times New Roman"/>
          <w:kern w:val="0"/>
          <w:sz w:val="24"/>
          <w:szCs w:val="24"/>
          <w14:ligatures w14:val="none"/>
        </w:rPr>
        <w:t xml:space="preserve">Dated: </w:t>
      </w:r>
      <w:r w:rsidR="00A14EF8">
        <w:rPr>
          <w:rFonts w:ascii="Times New Roman" w:eastAsia="Calibri" w:hAnsi="Times New Roman" w:cs="Times New Roman"/>
          <w:kern w:val="0"/>
          <w:sz w:val="24"/>
          <w:szCs w:val="24"/>
          <w14:ligatures w14:val="none"/>
        </w:rPr>
        <w:t>__</w:t>
      </w:r>
      <w:r w:rsidR="00A14EF8" w:rsidRPr="00A14EF8">
        <w:rPr>
          <w:rFonts w:ascii="Times New Roman" w:eastAsia="Calibri" w:hAnsi="Times New Roman" w:cs="Times New Roman"/>
          <w:kern w:val="0"/>
          <w:sz w:val="24"/>
          <w:szCs w:val="24"/>
          <w:highlight w:val="yellow"/>
          <w14:ligatures w14:val="none"/>
        </w:rPr>
        <w:t>______</w:t>
      </w:r>
      <w:r w:rsidRPr="00A14EF8">
        <w:rPr>
          <w:rFonts w:ascii="Times New Roman" w:eastAsia="Calibri" w:hAnsi="Times New Roman" w:cs="Times New Roman"/>
          <w:kern w:val="0"/>
          <w:sz w:val="24"/>
          <w:szCs w:val="24"/>
          <w:highlight w:val="yellow"/>
          <w14:ligatures w14:val="none"/>
        </w:rPr>
        <w:t>, New York</w:t>
      </w:r>
      <w:r w:rsidRPr="00A14EF8">
        <w:rPr>
          <w:rFonts w:ascii="Times New Roman" w:eastAsia="Calibri" w:hAnsi="Times New Roman" w:cs="Times New Roman"/>
          <w:kern w:val="0"/>
          <w:sz w:val="24"/>
          <w:szCs w:val="24"/>
          <w:highlight w:val="yellow"/>
          <w14:ligatures w14:val="none"/>
        </w:rPr>
        <w:tab/>
      </w:r>
      <w:r w:rsidRPr="00A14EF8">
        <w:rPr>
          <w:rFonts w:ascii="Times New Roman" w:eastAsia="Calibri" w:hAnsi="Times New Roman" w:cs="Times New Roman"/>
          <w:kern w:val="0"/>
          <w:sz w:val="24"/>
          <w:szCs w:val="24"/>
          <w:highlight w:val="yellow"/>
          <w14:ligatures w14:val="none"/>
        </w:rPr>
        <w:tab/>
      </w:r>
      <w:r w:rsidRPr="00A14EF8">
        <w:rPr>
          <w:rFonts w:ascii="Times New Roman" w:eastAsia="Calibri" w:hAnsi="Times New Roman" w:cs="Times New Roman"/>
          <w:kern w:val="0"/>
          <w:sz w:val="24"/>
          <w:szCs w:val="24"/>
          <w:highlight w:val="yellow"/>
          <w14:ligatures w14:val="none"/>
        </w:rPr>
        <w:tab/>
        <w:t>Respectfully submitted,</w:t>
      </w:r>
    </w:p>
    <w:p w14:paraId="4B611210" w14:textId="6DCC921F" w:rsidR="00620207" w:rsidRPr="00620207" w:rsidRDefault="009A1E0A" w:rsidP="00762F16">
      <w:pPr>
        <w:spacing w:after="0" w:line="240" w:lineRule="auto"/>
        <w:contextualSpacing/>
        <w:rPr>
          <w:rFonts w:ascii="Times New Roman" w:eastAsia="Calibri" w:hAnsi="Times New Roman" w:cs="Times New Roman"/>
          <w:kern w:val="0"/>
          <w:sz w:val="24"/>
          <w:szCs w:val="24"/>
          <w14:ligatures w14:val="none"/>
        </w:rPr>
      </w:pPr>
      <w:r w:rsidRPr="00A14EF8">
        <w:rPr>
          <w:rFonts w:ascii="Times New Roman" w:eastAsia="Calibri" w:hAnsi="Times New Roman" w:cs="Times New Roman"/>
          <w:kern w:val="0"/>
          <w:sz w:val="24"/>
          <w:szCs w:val="24"/>
          <w:highlight w:val="yellow"/>
          <w14:ligatures w14:val="none"/>
        </w:rPr>
        <w:tab/>
      </w:r>
      <w:r w:rsidR="00762F16" w:rsidRPr="00A14EF8">
        <w:rPr>
          <w:rFonts w:ascii="Times New Roman" w:eastAsia="Calibri" w:hAnsi="Times New Roman" w:cs="Times New Roman"/>
          <w:kern w:val="0"/>
          <w:sz w:val="24"/>
          <w:szCs w:val="24"/>
          <w:highlight w:val="yellow"/>
          <w14:ligatures w14:val="none"/>
        </w:rPr>
        <w:t>DATE</w:t>
      </w:r>
    </w:p>
    <w:p w14:paraId="54A570A9" w14:textId="03E7B34C" w:rsidR="007C2A4F" w:rsidRPr="00620207" w:rsidRDefault="007C2A4F" w:rsidP="00157C50">
      <w:pPr>
        <w:spacing w:after="0" w:line="480" w:lineRule="auto"/>
        <w:rPr>
          <w:rFonts w:ascii="Times New Roman" w:eastAsia="Calibri" w:hAnsi="Times New Roman" w:cs="Times New Roman"/>
          <w:kern w:val="0"/>
          <w:sz w:val="24"/>
          <w:szCs w:val="24"/>
          <w14:ligatures w14:val="none"/>
        </w:rPr>
      </w:pPr>
    </w:p>
    <w:sectPr w:rsidR="007C2A4F" w:rsidRPr="00620207" w:rsidSect="00A131F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6463" w14:textId="77777777" w:rsidR="006A3315" w:rsidRDefault="006A3315" w:rsidP="00F04DC1">
      <w:pPr>
        <w:spacing w:after="0" w:line="240" w:lineRule="auto"/>
      </w:pPr>
      <w:r>
        <w:separator/>
      </w:r>
    </w:p>
  </w:endnote>
  <w:endnote w:type="continuationSeparator" w:id="0">
    <w:p w14:paraId="3A467695" w14:textId="77777777" w:rsidR="006A3315" w:rsidRDefault="006A3315" w:rsidP="00F0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7647998"/>
      <w:docPartObj>
        <w:docPartGallery w:val="Page Numbers (Bottom of Page)"/>
        <w:docPartUnique/>
      </w:docPartObj>
    </w:sdtPr>
    <w:sdtEndPr>
      <w:rPr>
        <w:noProof/>
      </w:rPr>
    </w:sdtEndPr>
    <w:sdtContent>
      <w:p w14:paraId="0388AD4D" w14:textId="129CBA96" w:rsidR="00BE739E" w:rsidRPr="00BE739E" w:rsidRDefault="00BE739E">
        <w:pPr>
          <w:pStyle w:val="Footer"/>
          <w:jc w:val="center"/>
          <w:rPr>
            <w:rFonts w:ascii="Times New Roman" w:hAnsi="Times New Roman" w:cs="Times New Roman"/>
            <w:sz w:val="24"/>
            <w:szCs w:val="24"/>
          </w:rPr>
        </w:pPr>
        <w:r w:rsidRPr="00BE739E">
          <w:rPr>
            <w:rFonts w:ascii="Times New Roman" w:hAnsi="Times New Roman" w:cs="Times New Roman"/>
            <w:sz w:val="24"/>
            <w:szCs w:val="24"/>
          </w:rPr>
          <w:fldChar w:fldCharType="begin"/>
        </w:r>
        <w:r w:rsidRPr="00BE739E">
          <w:rPr>
            <w:rFonts w:ascii="Times New Roman" w:hAnsi="Times New Roman" w:cs="Times New Roman"/>
            <w:sz w:val="24"/>
            <w:szCs w:val="24"/>
          </w:rPr>
          <w:instrText xml:space="preserve"> PAGE   \* MERGEFORMAT </w:instrText>
        </w:r>
        <w:r w:rsidRPr="00BE739E">
          <w:rPr>
            <w:rFonts w:ascii="Times New Roman" w:hAnsi="Times New Roman" w:cs="Times New Roman"/>
            <w:sz w:val="24"/>
            <w:szCs w:val="24"/>
          </w:rPr>
          <w:fldChar w:fldCharType="separate"/>
        </w:r>
        <w:r w:rsidRPr="00BE739E">
          <w:rPr>
            <w:rFonts w:ascii="Times New Roman" w:hAnsi="Times New Roman" w:cs="Times New Roman"/>
            <w:noProof/>
            <w:sz w:val="24"/>
            <w:szCs w:val="24"/>
          </w:rPr>
          <w:t>2</w:t>
        </w:r>
        <w:r w:rsidRPr="00BE739E">
          <w:rPr>
            <w:rFonts w:ascii="Times New Roman" w:hAnsi="Times New Roman" w:cs="Times New Roman"/>
            <w:noProof/>
            <w:sz w:val="24"/>
            <w:szCs w:val="24"/>
          </w:rPr>
          <w:fldChar w:fldCharType="end"/>
        </w:r>
      </w:p>
    </w:sdtContent>
  </w:sdt>
  <w:p w14:paraId="30564AC3" w14:textId="77777777" w:rsidR="00BE739E" w:rsidRPr="00BE739E" w:rsidRDefault="00BE739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BB27" w14:textId="77777777" w:rsidR="006A3315" w:rsidRDefault="006A3315" w:rsidP="00F04DC1">
      <w:pPr>
        <w:spacing w:after="0" w:line="240" w:lineRule="auto"/>
      </w:pPr>
      <w:r>
        <w:separator/>
      </w:r>
    </w:p>
  </w:footnote>
  <w:footnote w:type="continuationSeparator" w:id="0">
    <w:p w14:paraId="26CC0877" w14:textId="77777777" w:rsidR="006A3315" w:rsidRDefault="006A3315" w:rsidP="00F04DC1">
      <w:pPr>
        <w:spacing w:after="0" w:line="240" w:lineRule="auto"/>
      </w:pPr>
      <w:r>
        <w:continuationSeparator/>
      </w:r>
    </w:p>
  </w:footnote>
  <w:footnote w:id="1">
    <w:p w14:paraId="1934AF95" w14:textId="77777777" w:rsidR="00AE6512" w:rsidRDefault="00AE6512" w:rsidP="00AE6512">
      <w:pPr>
        <w:contextualSpacing/>
        <w:jc w:val="both"/>
        <w:rPr>
          <w:rFonts w:ascii="Times New Roman" w:eastAsia="Arial" w:hAnsi="Times New Roman"/>
          <w:color w:val="000000"/>
          <w:sz w:val="20"/>
        </w:rPr>
      </w:pPr>
      <w:r w:rsidRPr="00552DF6">
        <w:rPr>
          <w:rStyle w:val="FootnoteReference"/>
          <w:rFonts w:ascii="Times New Roman" w:eastAsiaTheme="majorEastAsia" w:hAnsi="Times New Roman"/>
          <w:sz w:val="20"/>
        </w:rPr>
        <w:footnoteRef/>
      </w:r>
      <w:r w:rsidRPr="00552DF6">
        <w:rPr>
          <w:rFonts w:ascii="Times New Roman" w:hAnsi="Times New Roman"/>
          <w:sz w:val="20"/>
        </w:rPr>
        <w:t xml:space="preserve"> </w:t>
      </w:r>
      <w:r w:rsidRPr="00552DF6">
        <w:rPr>
          <w:rFonts w:ascii="Times New Roman" w:eastAsia="Arial" w:hAnsi="Times New Roman"/>
          <w:color w:val="000000"/>
          <w:sz w:val="20"/>
          <w:u w:val="single"/>
        </w:rPr>
        <w:t>See</w:t>
      </w:r>
      <w:r w:rsidRPr="00552DF6">
        <w:rPr>
          <w:rFonts w:ascii="Times New Roman" w:eastAsia="Arial" w:hAnsi="Times New Roman"/>
          <w:color w:val="000000"/>
          <w:sz w:val="20"/>
        </w:rPr>
        <w:t xml:space="preserve"> </w:t>
      </w:r>
      <w:r w:rsidRPr="00552DF6">
        <w:rPr>
          <w:rFonts w:ascii="Times New Roman" w:eastAsia="Arial" w:hAnsi="Times New Roman"/>
          <w:color w:val="000000"/>
          <w:sz w:val="20"/>
          <w:u w:val="single"/>
        </w:rPr>
        <w:t>Westbrook v. General Tire &amp; Rubber Co.</w:t>
      </w:r>
      <w:r w:rsidRPr="00552DF6">
        <w:rPr>
          <w:rFonts w:ascii="Times New Roman" w:eastAsia="Arial" w:hAnsi="Times New Roman"/>
          <w:color w:val="000000"/>
          <w:sz w:val="20"/>
        </w:rPr>
        <w:t xml:space="preserve">, 754 F.2d 1233 (S.D. Miss 2021) (granting a new trial, in part, because of plaintiff counsel’s improper </w:t>
      </w:r>
      <w:r>
        <w:rPr>
          <w:rFonts w:ascii="Times New Roman" w:eastAsia="Arial" w:hAnsi="Times New Roman"/>
          <w:color w:val="000000"/>
          <w:sz w:val="20"/>
        </w:rPr>
        <w:t xml:space="preserve">Reptile and </w:t>
      </w:r>
      <w:r w:rsidRPr="00552DF6">
        <w:rPr>
          <w:rFonts w:ascii="Times New Roman" w:eastAsia="Arial" w:hAnsi="Times New Roman"/>
          <w:color w:val="000000"/>
          <w:sz w:val="20"/>
        </w:rPr>
        <w:t xml:space="preserve">“conscience of the community”, “communal responsibility”, and “us-against-them” appeals; “Our condemnation of a ‘community conscience’ argument is not limited to the use of those specific words; it extends to all impassioned and prejudicial pleas intended to evoke a sense of community loyalty, duty and expectation.  Such appeals serve no proper purpose and carry the potential of substantial injustice”); </w:t>
      </w:r>
      <w:r w:rsidRPr="00552DF6">
        <w:rPr>
          <w:rFonts w:ascii="Times New Roman" w:eastAsia="Arial" w:hAnsi="Times New Roman"/>
          <w:color w:val="000000"/>
          <w:sz w:val="20"/>
          <w:u w:val="single"/>
        </w:rPr>
        <w:t>Grisham v. Longo</w:t>
      </w:r>
      <w:r w:rsidRPr="00552DF6">
        <w:rPr>
          <w:rFonts w:ascii="Times New Roman" w:eastAsia="Arial" w:hAnsi="Times New Roman"/>
          <w:color w:val="000000"/>
          <w:sz w:val="20"/>
        </w:rPr>
        <w:t xml:space="preserve">, 2018 U.S. Dist. LEXIS 164432 (S.D. Miss 2018) (granting motion </w:t>
      </w:r>
      <w:r w:rsidRPr="00552DF6">
        <w:rPr>
          <w:rFonts w:ascii="Times New Roman" w:eastAsia="Arial" w:hAnsi="Times New Roman"/>
          <w:i/>
          <w:iCs/>
          <w:color w:val="000000"/>
          <w:sz w:val="20"/>
        </w:rPr>
        <w:t xml:space="preserve">in </w:t>
      </w:r>
      <w:proofErr w:type="spellStart"/>
      <w:r w:rsidRPr="00552DF6">
        <w:rPr>
          <w:rFonts w:ascii="Times New Roman" w:eastAsia="Arial" w:hAnsi="Times New Roman"/>
          <w:i/>
          <w:iCs/>
          <w:color w:val="000000"/>
          <w:sz w:val="20"/>
        </w:rPr>
        <w:t>limine</w:t>
      </w:r>
      <w:proofErr w:type="spellEnd"/>
      <w:r w:rsidRPr="00552DF6">
        <w:rPr>
          <w:rFonts w:ascii="Times New Roman" w:eastAsia="Arial" w:hAnsi="Times New Roman"/>
          <w:color w:val="000000"/>
          <w:sz w:val="20"/>
        </w:rPr>
        <w:t xml:space="preserve"> to exclude Reptile Theory “conscience of the community” and other arguments).</w:t>
      </w:r>
    </w:p>
    <w:p w14:paraId="1540A998" w14:textId="77777777" w:rsidR="00AE6512" w:rsidRPr="00552DF6" w:rsidRDefault="00AE6512" w:rsidP="00AE6512">
      <w:pPr>
        <w:contextualSpacing/>
        <w:jc w:val="both"/>
        <w:rPr>
          <w:rFonts w:ascii="Times New Roman" w:eastAsia="Arial" w:hAnsi="Times New Roman"/>
          <w:color w:val="000000"/>
          <w:sz w:val="20"/>
        </w:rPr>
      </w:pPr>
    </w:p>
  </w:footnote>
  <w:footnote w:id="2">
    <w:p w14:paraId="36A3F716" w14:textId="77777777" w:rsidR="003F2F63" w:rsidRPr="003F2F63" w:rsidRDefault="003F2F63" w:rsidP="003F2F63">
      <w:pPr>
        <w:spacing w:after="0" w:line="240" w:lineRule="auto"/>
        <w:contextualSpacing/>
        <w:jc w:val="both"/>
        <w:rPr>
          <w:rFonts w:ascii="Times New Roman" w:eastAsia="Calibri" w:hAnsi="Times New Roman" w:cs="Times New Roman"/>
          <w:sz w:val="20"/>
          <w:szCs w:val="20"/>
        </w:rPr>
      </w:pPr>
      <w:r>
        <w:rPr>
          <w:rStyle w:val="FootnoteReference"/>
        </w:rPr>
        <w:footnoteRef/>
      </w:r>
      <w:r>
        <w:t xml:space="preserve"> </w:t>
      </w:r>
      <w:r w:rsidRPr="003F2F63">
        <w:rPr>
          <w:rFonts w:ascii="Times New Roman" w:eastAsia="Arial" w:hAnsi="Times New Roman" w:cs="Times New Roman"/>
          <w:color w:val="000000"/>
          <w:sz w:val="20"/>
          <w:szCs w:val="20"/>
        </w:rPr>
        <w:t xml:space="preserve">Courts around the country have repeatedly precluded efforts to inject “community safety” (aka “Reptile Theory”) considerations as improper and irrelevant, having no probative value as weighed against the substantial danger of unfair prejudice, misleading the jury, confusing the issues, and as diverting the jury from its proper purpose.  </w:t>
      </w:r>
      <w:r w:rsidRPr="003F2F63">
        <w:rPr>
          <w:rFonts w:ascii="Times New Roman" w:eastAsia="Arial" w:hAnsi="Times New Roman" w:cs="Times New Roman"/>
          <w:color w:val="000000"/>
          <w:sz w:val="20"/>
          <w:szCs w:val="20"/>
          <w:u w:val="single"/>
        </w:rPr>
        <w:t>See</w:t>
      </w:r>
      <w:r w:rsidRPr="003F2F63">
        <w:rPr>
          <w:rFonts w:ascii="Times New Roman" w:eastAsia="Arial" w:hAnsi="Times New Roman" w:cs="Times New Roman"/>
          <w:color w:val="000000"/>
          <w:sz w:val="20"/>
          <w:szCs w:val="20"/>
        </w:rPr>
        <w:t xml:space="preserve"> </w:t>
      </w:r>
      <w:r w:rsidRPr="003F2F63">
        <w:rPr>
          <w:rFonts w:ascii="Times New Roman" w:hAnsi="Times New Roman" w:cs="Times New Roman"/>
          <w:sz w:val="20"/>
          <w:szCs w:val="20"/>
          <w:u w:val="single"/>
        </w:rPr>
        <w:t>Hill v Auto-Owners (Mut.) Ins. Co</w:t>
      </w:r>
      <w:r w:rsidRPr="003F2F63">
        <w:rPr>
          <w:rFonts w:ascii="Times New Roman" w:hAnsi="Times New Roman" w:cs="Times New Roman"/>
          <w:sz w:val="20"/>
          <w:szCs w:val="20"/>
        </w:rPr>
        <w:t xml:space="preserve">., 4:19-CV-00078, 2022 WL 2542308, at *1 (ED Tenn., Mar. 31, 2022) (Court had previously “affirmed in open court that it would be improper for counsel to” employ Reptile or related unfair tactics); </w:t>
      </w:r>
      <w:r w:rsidRPr="003F2F63">
        <w:rPr>
          <w:rFonts w:ascii="Times New Roman" w:hAnsi="Times New Roman" w:cs="Times New Roman"/>
          <w:sz w:val="20"/>
          <w:szCs w:val="20"/>
          <w:u w:val="single"/>
        </w:rPr>
        <w:t>Wallace v Martinez</w:t>
      </w:r>
      <w:r w:rsidRPr="003F2F63">
        <w:rPr>
          <w:rFonts w:ascii="Times New Roman" w:hAnsi="Times New Roman" w:cs="Times New Roman"/>
          <w:sz w:val="20"/>
          <w:szCs w:val="20"/>
        </w:rPr>
        <w:t>, 1:19-CV-1199 AWI SAB, 2022 WL 2872998, at *11 (ED Cal., July 21, 2022) (</w:t>
      </w:r>
      <w:proofErr w:type="spellStart"/>
      <w:r w:rsidRPr="003F2F63">
        <w:rPr>
          <w:rFonts w:ascii="Times New Roman" w:hAnsi="Times New Roman" w:cs="Times New Roman"/>
          <w:sz w:val="20"/>
          <w:szCs w:val="20"/>
        </w:rPr>
        <w:t>grtd</w:t>
      </w:r>
      <w:proofErr w:type="spellEnd"/>
      <w:r w:rsidRPr="003F2F63">
        <w:rPr>
          <w:rFonts w:ascii="Times New Roman" w:hAnsi="Times New Roman" w:cs="Times New Roman"/>
          <w:sz w:val="20"/>
          <w:szCs w:val="20"/>
        </w:rPr>
        <w:t xml:space="preserve">. without opp.); </w:t>
      </w:r>
      <w:r w:rsidRPr="003F2F63">
        <w:rPr>
          <w:rFonts w:ascii="Times New Roman" w:hAnsi="Times New Roman" w:cs="Times New Roman"/>
          <w:sz w:val="20"/>
          <w:szCs w:val="20"/>
          <w:u w:val="single"/>
        </w:rPr>
        <w:t>Ochoa v County of Kern</w:t>
      </w:r>
      <w:r w:rsidRPr="003F2F63">
        <w:rPr>
          <w:rFonts w:ascii="Times New Roman" w:hAnsi="Times New Roman" w:cs="Times New Roman"/>
          <w:sz w:val="20"/>
          <w:szCs w:val="20"/>
        </w:rPr>
        <w:t>, 118CV01599JLTBAK, 2022 WL 4280157, at *7 (</w:t>
      </w:r>
      <w:proofErr w:type="spellStart"/>
      <w:r w:rsidRPr="003F2F63">
        <w:rPr>
          <w:rFonts w:ascii="Times New Roman" w:hAnsi="Times New Roman" w:cs="Times New Roman"/>
          <w:sz w:val="20"/>
          <w:szCs w:val="20"/>
        </w:rPr>
        <w:t>D.Cal</w:t>
      </w:r>
      <w:proofErr w:type="spellEnd"/>
      <w:r w:rsidRPr="003F2F63">
        <w:rPr>
          <w:rFonts w:ascii="Times New Roman" w:hAnsi="Times New Roman" w:cs="Times New Roman"/>
          <w:sz w:val="20"/>
          <w:szCs w:val="20"/>
        </w:rPr>
        <w:t>., Sept. 15, 2022) (</w:t>
      </w:r>
      <w:proofErr w:type="spellStart"/>
      <w:r w:rsidRPr="003F2F63">
        <w:rPr>
          <w:rFonts w:ascii="Times New Roman" w:hAnsi="Times New Roman" w:cs="Times New Roman"/>
          <w:sz w:val="20"/>
          <w:szCs w:val="20"/>
        </w:rPr>
        <w:t>grtd</w:t>
      </w:r>
      <w:proofErr w:type="spellEnd"/>
      <w:r w:rsidRPr="003F2F63">
        <w:rPr>
          <w:rFonts w:ascii="Times New Roman" w:hAnsi="Times New Roman" w:cs="Times New Roman"/>
          <w:sz w:val="20"/>
          <w:szCs w:val="20"/>
        </w:rPr>
        <w:t xml:space="preserve">. without opp.); </w:t>
      </w:r>
      <w:r w:rsidRPr="003F2F63">
        <w:rPr>
          <w:rFonts w:ascii="Times New Roman" w:hAnsi="Times New Roman" w:cs="Times New Roman"/>
          <w:sz w:val="20"/>
          <w:szCs w:val="20"/>
          <w:u w:val="single"/>
        </w:rPr>
        <w:t xml:space="preserve">Russell v. </w:t>
      </w:r>
      <w:proofErr w:type="spellStart"/>
      <w:r w:rsidRPr="003F2F63">
        <w:rPr>
          <w:rFonts w:ascii="Times New Roman" w:hAnsi="Times New Roman" w:cs="Times New Roman"/>
          <w:sz w:val="20"/>
          <w:szCs w:val="20"/>
          <w:u w:val="single"/>
        </w:rPr>
        <w:t>Dep’t</w:t>
      </w:r>
      <w:proofErr w:type="spellEnd"/>
      <w:r w:rsidRPr="003F2F63">
        <w:rPr>
          <w:rFonts w:ascii="Times New Roman" w:hAnsi="Times New Roman" w:cs="Times New Roman"/>
          <w:sz w:val="20"/>
          <w:szCs w:val="20"/>
          <w:u w:val="single"/>
        </w:rPr>
        <w:t xml:space="preserve"> of Corr. &amp; Rehab.</w:t>
      </w:r>
      <w:r w:rsidRPr="003F2F63">
        <w:rPr>
          <w:rFonts w:ascii="Times New Roman" w:hAnsi="Times New Roman" w:cs="Times New Roman"/>
          <w:sz w:val="20"/>
          <w:szCs w:val="20"/>
        </w:rPr>
        <w:t xml:space="preserve">, 72 Cal. App. 5th 916 (2021); </w:t>
      </w:r>
      <w:r w:rsidRPr="003F2F63">
        <w:rPr>
          <w:rFonts w:ascii="Times New Roman" w:hAnsi="Times New Roman" w:cs="Times New Roman"/>
          <w:sz w:val="20"/>
          <w:szCs w:val="20"/>
          <w:u w:val="single"/>
        </w:rPr>
        <w:t>Garth v. RAC Acceptance E., LLC</w:t>
      </w:r>
      <w:r w:rsidRPr="003F2F63">
        <w:rPr>
          <w:rFonts w:ascii="Times New Roman" w:hAnsi="Times New Roman" w:cs="Times New Roman"/>
          <w:sz w:val="20"/>
          <w:szCs w:val="20"/>
        </w:rPr>
        <w:t xml:space="preserve">, No. 1:19-CV-192-DMB-RP, 2021 WL 4860466 (N.D. Miss. Oct. 18, 2021); </w:t>
      </w:r>
      <w:r w:rsidRPr="003F2F63">
        <w:rPr>
          <w:rFonts w:ascii="Times New Roman" w:hAnsi="Times New Roman" w:cs="Times New Roman"/>
          <w:sz w:val="20"/>
          <w:szCs w:val="20"/>
          <w:u w:val="single"/>
        </w:rPr>
        <w:t>Doe v. Bridges to Recovery, LLC</w:t>
      </w:r>
      <w:r w:rsidRPr="003F2F63">
        <w:rPr>
          <w:rFonts w:ascii="Times New Roman" w:hAnsi="Times New Roman" w:cs="Times New Roman"/>
          <w:sz w:val="20"/>
          <w:szCs w:val="20"/>
        </w:rPr>
        <w:t xml:space="preserve">, No. 2:20-CV-348-SVW, 2021 WL 4690830 (C.D. Cal. May 19, 2021); </w:t>
      </w:r>
      <w:r w:rsidRPr="003F2F63">
        <w:rPr>
          <w:rFonts w:ascii="Times New Roman" w:hAnsi="Times New Roman" w:cs="Times New Roman"/>
          <w:sz w:val="20"/>
          <w:szCs w:val="20"/>
          <w:u w:val="single"/>
        </w:rPr>
        <w:t>Jackson v. Low Constr. Grp., LLC</w:t>
      </w:r>
      <w:r w:rsidRPr="003F2F63">
        <w:rPr>
          <w:rFonts w:ascii="Times New Roman" w:hAnsi="Times New Roman" w:cs="Times New Roman"/>
          <w:sz w:val="20"/>
          <w:szCs w:val="20"/>
        </w:rPr>
        <w:t xml:space="preserve">, No. 2:19-CV-130-KS-MTP, 2021 WL 1030995 (S.D. Miss. Mar. 17, 2021); </w:t>
      </w:r>
      <w:r w:rsidRPr="003F2F63">
        <w:rPr>
          <w:rFonts w:ascii="Times New Roman" w:hAnsi="Times New Roman" w:cs="Times New Roman"/>
          <w:sz w:val="20"/>
          <w:szCs w:val="20"/>
          <w:u w:val="single"/>
        </w:rPr>
        <w:t>Est. of McNamara v. Navar</w:t>
      </w:r>
      <w:r w:rsidRPr="003F2F63">
        <w:rPr>
          <w:rFonts w:ascii="Times New Roman" w:hAnsi="Times New Roman" w:cs="Times New Roman"/>
          <w:sz w:val="20"/>
          <w:szCs w:val="20"/>
        </w:rPr>
        <w:t>, No. 2:19-CV-109, 2020 WL 1934175 (N.D. Ind. Apr. 22, 2020), </w:t>
      </w:r>
      <w:r w:rsidRPr="003F2F63">
        <w:rPr>
          <w:rFonts w:ascii="Times New Roman" w:hAnsi="Times New Roman" w:cs="Times New Roman"/>
          <w:sz w:val="20"/>
          <w:szCs w:val="20"/>
          <w:u w:val="single"/>
        </w:rPr>
        <w:t>reconsideration denied</w:t>
      </w:r>
      <w:r w:rsidRPr="003F2F63">
        <w:rPr>
          <w:rFonts w:ascii="Times New Roman" w:hAnsi="Times New Roman" w:cs="Times New Roman"/>
          <w:sz w:val="20"/>
          <w:szCs w:val="20"/>
        </w:rPr>
        <w:t xml:space="preserve">, No. 2:19-CV-109, 2020 WL 2214569 (N.D. Ind. May 7, 2020); </w:t>
      </w:r>
      <w:r w:rsidRPr="003F2F63">
        <w:rPr>
          <w:rFonts w:ascii="Times New Roman" w:hAnsi="Times New Roman" w:cs="Times New Roman"/>
          <w:sz w:val="20"/>
          <w:szCs w:val="20"/>
          <w:u w:val="single"/>
        </w:rPr>
        <w:t>McClain v. Torres</w:t>
      </w:r>
      <w:r w:rsidRPr="003F2F63">
        <w:rPr>
          <w:rFonts w:ascii="Times New Roman" w:hAnsi="Times New Roman" w:cs="Times New Roman"/>
          <w:sz w:val="20"/>
          <w:szCs w:val="20"/>
        </w:rPr>
        <w:t>, 2020 Colo. Dist. LEXIS 2492, at *1, and 2134 (</w:t>
      </w:r>
      <w:proofErr w:type="spellStart"/>
      <w:r w:rsidRPr="003F2F63">
        <w:rPr>
          <w:rFonts w:ascii="Times New Roman" w:hAnsi="Times New Roman" w:cs="Times New Roman"/>
          <w:sz w:val="20"/>
          <w:szCs w:val="20"/>
        </w:rPr>
        <w:t>Dist.Ct</w:t>
      </w:r>
      <w:proofErr w:type="spellEnd"/>
      <w:r w:rsidRPr="003F2F63">
        <w:rPr>
          <w:rFonts w:ascii="Times New Roman" w:hAnsi="Times New Roman" w:cs="Times New Roman"/>
          <w:sz w:val="20"/>
          <w:szCs w:val="20"/>
        </w:rPr>
        <w:t xml:space="preserve">., La Plata Co. 2020); </w:t>
      </w:r>
      <w:r w:rsidRPr="003F2F63">
        <w:rPr>
          <w:rFonts w:ascii="Times New Roman" w:hAnsi="Times New Roman" w:cs="Times New Roman"/>
          <w:sz w:val="20"/>
          <w:szCs w:val="20"/>
          <w:u w:val="single"/>
        </w:rPr>
        <w:t>Goodreau v. Hines</w:t>
      </w:r>
      <w:r w:rsidRPr="003F2F63">
        <w:rPr>
          <w:rFonts w:ascii="Times New Roman" w:hAnsi="Times New Roman" w:cs="Times New Roman"/>
          <w:sz w:val="20"/>
          <w:szCs w:val="20"/>
        </w:rPr>
        <w:t>, 2020 Colo. Dist. LEXIS 2560, *1 (</w:t>
      </w:r>
      <w:proofErr w:type="spellStart"/>
      <w:r w:rsidRPr="003F2F63">
        <w:rPr>
          <w:rFonts w:ascii="Times New Roman" w:hAnsi="Times New Roman" w:cs="Times New Roman"/>
          <w:sz w:val="20"/>
          <w:szCs w:val="20"/>
        </w:rPr>
        <w:t>Dist.Ct</w:t>
      </w:r>
      <w:proofErr w:type="spellEnd"/>
      <w:r w:rsidRPr="003F2F63">
        <w:rPr>
          <w:rFonts w:ascii="Times New Roman" w:hAnsi="Times New Roman" w:cs="Times New Roman"/>
          <w:sz w:val="20"/>
          <w:szCs w:val="20"/>
        </w:rPr>
        <w:t xml:space="preserve">., Denver Co. 2020); </w:t>
      </w:r>
      <w:r w:rsidRPr="003F2F63">
        <w:rPr>
          <w:rFonts w:ascii="Times New Roman" w:hAnsi="Times New Roman" w:cs="Times New Roman"/>
          <w:sz w:val="20"/>
          <w:szCs w:val="20"/>
          <w:u w:val="single"/>
        </w:rPr>
        <w:t>Martinez v. Catholic Health Initiatives Colo</w:t>
      </w:r>
      <w:r w:rsidRPr="003F2F63">
        <w:rPr>
          <w:rFonts w:ascii="Times New Roman" w:hAnsi="Times New Roman" w:cs="Times New Roman"/>
          <w:sz w:val="20"/>
          <w:szCs w:val="20"/>
        </w:rPr>
        <w:t>., 2020 Colo. Dist. LEXIS 2977, *1, and 2247 (</w:t>
      </w:r>
      <w:proofErr w:type="spellStart"/>
      <w:r w:rsidRPr="003F2F63">
        <w:rPr>
          <w:rFonts w:ascii="Times New Roman" w:hAnsi="Times New Roman" w:cs="Times New Roman"/>
          <w:sz w:val="20"/>
          <w:szCs w:val="20"/>
        </w:rPr>
        <w:t>Dist.Ct</w:t>
      </w:r>
      <w:proofErr w:type="spellEnd"/>
      <w:r w:rsidRPr="003F2F63">
        <w:rPr>
          <w:rFonts w:ascii="Times New Roman" w:hAnsi="Times New Roman" w:cs="Times New Roman"/>
          <w:sz w:val="20"/>
          <w:szCs w:val="20"/>
        </w:rPr>
        <w:t xml:space="preserve">., Adams Co. 2020) (“finding that Plaintiff could not offer golden rule or reptile theory arguments at trial because such arguments would incorrectly instruct the jury as to its role in this case”); </w:t>
      </w:r>
      <w:r w:rsidRPr="003F2F63">
        <w:rPr>
          <w:rFonts w:ascii="Times New Roman" w:hAnsi="Times New Roman" w:cs="Times New Roman"/>
          <w:sz w:val="20"/>
          <w:szCs w:val="20"/>
          <w:u w:val="single"/>
        </w:rPr>
        <w:t>Cox v. Swift Transp. Co. of Arizona</w:t>
      </w:r>
      <w:r w:rsidRPr="003F2F63">
        <w:rPr>
          <w:rFonts w:ascii="Times New Roman" w:hAnsi="Times New Roman" w:cs="Times New Roman"/>
          <w:sz w:val="20"/>
          <w:szCs w:val="20"/>
        </w:rPr>
        <w:t xml:space="preserve">, 2019 US </w:t>
      </w:r>
      <w:proofErr w:type="spellStart"/>
      <w:r w:rsidRPr="003F2F63">
        <w:rPr>
          <w:rFonts w:ascii="Times New Roman" w:hAnsi="Times New Roman" w:cs="Times New Roman"/>
          <w:sz w:val="20"/>
          <w:szCs w:val="20"/>
        </w:rPr>
        <w:t>Dist</w:t>
      </w:r>
      <w:proofErr w:type="spellEnd"/>
      <w:r w:rsidRPr="003F2F63">
        <w:rPr>
          <w:rFonts w:ascii="Times New Roman" w:hAnsi="Times New Roman" w:cs="Times New Roman"/>
          <w:sz w:val="20"/>
          <w:szCs w:val="20"/>
        </w:rPr>
        <w:t xml:space="preserve"> LEXIS 132115, at *31 (ND Okla Aug. 7, 2019); </w:t>
      </w:r>
      <w:bookmarkStart w:id="0" w:name="_Hlk74752478"/>
      <w:r w:rsidRPr="003F2F63">
        <w:rPr>
          <w:rFonts w:ascii="Times New Roman" w:hAnsi="Times New Roman" w:cs="Times New Roman"/>
          <w:sz w:val="20"/>
          <w:szCs w:val="20"/>
          <w:u w:val="single"/>
        </w:rPr>
        <w:t>Williams v. Lawrence &amp; Mem. Hosp., Inc.</w:t>
      </w:r>
      <w:r w:rsidRPr="003F2F63">
        <w:rPr>
          <w:rFonts w:ascii="Times New Roman" w:hAnsi="Times New Roman" w:cs="Times New Roman"/>
          <w:sz w:val="20"/>
          <w:szCs w:val="20"/>
        </w:rPr>
        <w:t>, 2020 Conn. Super. LEXIS 491, *18 (Conn. Super. Ct. 2020)</w:t>
      </w:r>
      <w:bookmarkEnd w:id="0"/>
      <w:r w:rsidRPr="003F2F63">
        <w:rPr>
          <w:rFonts w:ascii="Times New Roman" w:hAnsi="Times New Roman" w:cs="Times New Roman"/>
          <w:sz w:val="20"/>
          <w:szCs w:val="20"/>
        </w:rPr>
        <w:t xml:space="preserve"> (precluding reptile theory efforts, holding that “[t]he strategy attempts to invoke a juror’s survival instinct and in so doing, create safety rules, invite the jury to use common sense to determine the standard of care, and instill a belief in the jurors that they are the ‘conscience of the community.’ All of these improperly state the law regarding a physician’s duty of care, and the prevailing standard of care.”); </w:t>
      </w:r>
      <w:r w:rsidRPr="003F2F63">
        <w:rPr>
          <w:rFonts w:ascii="Times New Roman" w:hAnsi="Times New Roman" w:cs="Times New Roman"/>
          <w:sz w:val="20"/>
          <w:szCs w:val="20"/>
          <w:u w:val="single"/>
        </w:rPr>
        <w:t xml:space="preserve">Biglow v. </w:t>
      </w:r>
      <w:proofErr w:type="spellStart"/>
      <w:r w:rsidRPr="003F2F63">
        <w:rPr>
          <w:rFonts w:ascii="Times New Roman" w:hAnsi="Times New Roman" w:cs="Times New Roman"/>
          <w:sz w:val="20"/>
          <w:szCs w:val="20"/>
          <w:u w:val="single"/>
        </w:rPr>
        <w:t>Eidenberg</w:t>
      </w:r>
      <w:proofErr w:type="spellEnd"/>
      <w:r w:rsidRPr="003F2F63">
        <w:rPr>
          <w:rFonts w:ascii="Times New Roman" w:hAnsi="Times New Roman" w:cs="Times New Roman"/>
          <w:sz w:val="20"/>
          <w:szCs w:val="20"/>
        </w:rPr>
        <w:t xml:space="preserve">, 369 P.3d 341 (Kan. Ct. App. 2016); </w:t>
      </w:r>
      <w:r w:rsidRPr="003F2F63">
        <w:rPr>
          <w:rFonts w:ascii="Times New Roman" w:hAnsi="Times New Roman" w:cs="Times New Roman"/>
          <w:sz w:val="20"/>
          <w:szCs w:val="20"/>
          <w:u w:val="single"/>
        </w:rPr>
        <w:t>Boyer v. Knudsen</w:t>
      </w:r>
      <w:r w:rsidRPr="003F2F63">
        <w:rPr>
          <w:rFonts w:ascii="Times New Roman" w:hAnsi="Times New Roman" w:cs="Times New Roman"/>
          <w:sz w:val="20"/>
          <w:szCs w:val="20"/>
        </w:rPr>
        <w:t>, 2020 Colo. Dist. LEXIS 779, *2 (Dist. Ct. Denver Co. 2020) (precluding reptile theory arguments on basis that “[a]</w:t>
      </w:r>
      <w:proofErr w:type="spellStart"/>
      <w:r w:rsidRPr="003F2F63">
        <w:rPr>
          <w:rFonts w:ascii="Times New Roman" w:hAnsi="Times New Roman" w:cs="Times New Roman"/>
          <w:sz w:val="20"/>
          <w:szCs w:val="20"/>
        </w:rPr>
        <w:t>ppeals</w:t>
      </w:r>
      <w:proofErr w:type="spellEnd"/>
      <w:r w:rsidRPr="003F2F63">
        <w:rPr>
          <w:rFonts w:ascii="Times New Roman" w:hAnsi="Times New Roman" w:cs="Times New Roman"/>
          <w:sz w:val="20"/>
          <w:szCs w:val="20"/>
        </w:rPr>
        <w:t xml:space="preserve"> to emotion, fear, or personal safety are improper. Defendant has admitted liability.  The only issue for the jury is to determine what, if any, damages are appropriate based on the evidence presented at trial.”); </w:t>
      </w:r>
      <w:r w:rsidRPr="003F2F63">
        <w:rPr>
          <w:rFonts w:ascii="Times New Roman" w:hAnsi="Times New Roman" w:cs="Times New Roman"/>
          <w:sz w:val="20"/>
          <w:szCs w:val="20"/>
          <w:u w:val="single"/>
        </w:rPr>
        <w:t>Wertheimer H., Inc. v. Ridley USA, Inc</w:t>
      </w:r>
      <w:r w:rsidRPr="003F2F63">
        <w:rPr>
          <w:rFonts w:ascii="Times New Roman" w:hAnsi="Times New Roman" w:cs="Times New Roman"/>
          <w:sz w:val="20"/>
          <w:szCs w:val="20"/>
        </w:rPr>
        <w:t xml:space="preserve">., 2020 U.S. Dist. LEXIS 34846, at *8 (D. Mont. 2020); </w:t>
      </w:r>
      <w:r w:rsidRPr="003F2F63">
        <w:rPr>
          <w:rFonts w:ascii="Times New Roman" w:hAnsi="Times New Roman" w:cs="Times New Roman"/>
          <w:sz w:val="20"/>
          <w:szCs w:val="20"/>
          <w:u w:val="single"/>
        </w:rPr>
        <w:t>Estate of Reaves v. Behari</w:t>
      </w:r>
      <w:r w:rsidRPr="003F2F63">
        <w:rPr>
          <w:rFonts w:ascii="Times New Roman" w:hAnsi="Times New Roman" w:cs="Times New Roman"/>
          <w:sz w:val="20"/>
          <w:szCs w:val="20"/>
        </w:rPr>
        <w:t xml:space="preserve">, 2019 Fla. Cir. LEXIS 9605, *1 (Fla. Cir. Ct., 2019); </w:t>
      </w:r>
      <w:r w:rsidRPr="003F2F63">
        <w:rPr>
          <w:rFonts w:ascii="Times New Roman" w:hAnsi="Times New Roman" w:cs="Times New Roman"/>
          <w:sz w:val="20"/>
          <w:szCs w:val="20"/>
          <w:u w:val="single"/>
        </w:rPr>
        <w:t>Cox v Swift Transp. Co. of Arizona</w:t>
      </w:r>
      <w:r w:rsidRPr="003F2F63">
        <w:rPr>
          <w:rFonts w:ascii="Times New Roman" w:hAnsi="Times New Roman" w:cs="Times New Roman"/>
          <w:sz w:val="20"/>
          <w:szCs w:val="20"/>
        </w:rPr>
        <w:t xml:space="preserve">, 2019 U.S. Dist. LEXIS 132115, at *31 (N.D. Okla. Aug. 7, 2019) (“Plaintiffs are cautioned that any argument that asks the jurors to reach a verdict solely on their emotional response to the evidence will be prohibited, and plaintiff’s arguments should be focused on the facts that are admissible at trial and the law applicable to their claims.”); </w:t>
      </w:r>
      <w:r w:rsidRPr="003F2F63">
        <w:rPr>
          <w:rFonts w:ascii="Times New Roman" w:hAnsi="Times New Roman" w:cs="Times New Roman"/>
          <w:sz w:val="20"/>
          <w:szCs w:val="20"/>
          <w:u w:val="single"/>
        </w:rPr>
        <w:t>McComb v. C G &amp; B Enters</w:t>
      </w:r>
      <w:r w:rsidRPr="003F2F63">
        <w:rPr>
          <w:rFonts w:ascii="Times New Roman" w:hAnsi="Times New Roman" w:cs="Times New Roman"/>
          <w:sz w:val="20"/>
          <w:szCs w:val="20"/>
        </w:rPr>
        <w:t xml:space="preserve">., 2019 Nev. Dist. LEXIS 2157, at *2 </w:t>
      </w:r>
      <w:bookmarkStart w:id="1" w:name="_Hlk74744733"/>
      <w:r w:rsidRPr="003F2F63">
        <w:rPr>
          <w:rFonts w:ascii="Times New Roman" w:hAnsi="Times New Roman" w:cs="Times New Roman"/>
          <w:sz w:val="20"/>
          <w:szCs w:val="20"/>
        </w:rPr>
        <w:t>(D. Nev. 2019)</w:t>
      </w:r>
      <w:bookmarkEnd w:id="1"/>
      <w:r w:rsidRPr="003F2F63">
        <w:rPr>
          <w:rFonts w:ascii="Times New Roman" w:hAnsi="Times New Roman" w:cs="Times New Roman"/>
          <w:sz w:val="20"/>
          <w:szCs w:val="20"/>
        </w:rPr>
        <w:t xml:space="preserve">; </w:t>
      </w:r>
      <w:r w:rsidRPr="003F2F63">
        <w:rPr>
          <w:rFonts w:ascii="Times New Roman" w:hAnsi="Times New Roman" w:cs="Times New Roman"/>
          <w:sz w:val="20"/>
          <w:szCs w:val="20"/>
          <w:u w:val="single"/>
        </w:rPr>
        <w:t xml:space="preserve">Brantley v. UPS Ground </w:t>
      </w:r>
      <w:proofErr w:type="spellStart"/>
      <w:r w:rsidRPr="003F2F63">
        <w:rPr>
          <w:rFonts w:ascii="Times New Roman" w:hAnsi="Times New Roman" w:cs="Times New Roman"/>
          <w:sz w:val="20"/>
          <w:szCs w:val="20"/>
          <w:u w:val="single"/>
        </w:rPr>
        <w:t>Frgt</w:t>
      </w:r>
      <w:proofErr w:type="spellEnd"/>
      <w:r w:rsidRPr="003F2F63">
        <w:rPr>
          <w:rFonts w:ascii="Times New Roman" w:hAnsi="Times New Roman" w:cs="Times New Roman"/>
          <w:sz w:val="20"/>
          <w:szCs w:val="20"/>
          <w:u w:val="single"/>
        </w:rPr>
        <w:t>., Inc</w:t>
      </w:r>
      <w:r w:rsidRPr="003F2F63">
        <w:rPr>
          <w:rFonts w:ascii="Times New Roman" w:hAnsi="Times New Roman" w:cs="Times New Roman"/>
          <w:sz w:val="20"/>
          <w:szCs w:val="20"/>
        </w:rPr>
        <w:t>., 2019 U.S. Dist. LEXIS 234231, at *4 (E.D. Ark. July 3, 2019);</w:t>
      </w:r>
      <w:bookmarkStart w:id="2" w:name="_Hlk71648094"/>
      <w:r w:rsidRPr="003F2F63">
        <w:rPr>
          <w:rFonts w:ascii="Times New Roman" w:hAnsi="Times New Roman" w:cs="Times New Roman"/>
          <w:sz w:val="20"/>
          <w:szCs w:val="20"/>
        </w:rPr>
        <w:t xml:space="preserve"> </w:t>
      </w:r>
      <w:r w:rsidRPr="003F2F63">
        <w:rPr>
          <w:rFonts w:ascii="Times New Roman" w:hAnsi="Times New Roman" w:cs="Times New Roman"/>
          <w:sz w:val="20"/>
          <w:szCs w:val="20"/>
          <w:u w:val="single"/>
        </w:rPr>
        <w:t xml:space="preserve">Maher v. Locality </w:t>
      </w:r>
      <w:proofErr w:type="spellStart"/>
      <w:r w:rsidRPr="003F2F63">
        <w:rPr>
          <w:rFonts w:ascii="Times New Roman" w:hAnsi="Times New Roman" w:cs="Times New Roman"/>
          <w:sz w:val="20"/>
          <w:szCs w:val="20"/>
          <w:u w:val="single"/>
        </w:rPr>
        <w:t>Llc</w:t>
      </w:r>
      <w:proofErr w:type="spellEnd"/>
      <w:r w:rsidRPr="003F2F63">
        <w:rPr>
          <w:rFonts w:ascii="Times New Roman" w:hAnsi="Times New Roman" w:cs="Times New Roman"/>
          <w:sz w:val="20"/>
          <w:szCs w:val="20"/>
        </w:rPr>
        <w:t>, 2019 Colo. Dist. LEXIS 410, at *13 (</w:t>
      </w:r>
      <w:proofErr w:type="spellStart"/>
      <w:r w:rsidRPr="003F2F63">
        <w:rPr>
          <w:rFonts w:ascii="Times New Roman" w:hAnsi="Times New Roman" w:cs="Times New Roman"/>
          <w:sz w:val="20"/>
          <w:szCs w:val="20"/>
        </w:rPr>
        <w:t>Dist.Ct</w:t>
      </w:r>
      <w:proofErr w:type="spellEnd"/>
      <w:r w:rsidRPr="003F2F63">
        <w:rPr>
          <w:rFonts w:ascii="Times New Roman" w:hAnsi="Times New Roman" w:cs="Times New Roman"/>
          <w:sz w:val="20"/>
          <w:szCs w:val="20"/>
        </w:rPr>
        <w:t xml:space="preserve">., Larimer Co. May 17, 2019); </w:t>
      </w:r>
      <w:r w:rsidRPr="003F2F63">
        <w:rPr>
          <w:rFonts w:ascii="Times New Roman" w:hAnsi="Times New Roman" w:cs="Times New Roman"/>
          <w:sz w:val="20"/>
          <w:szCs w:val="20"/>
          <w:u w:val="single"/>
        </w:rPr>
        <w:t>Roman v. Msl Capital, LLC</w:t>
      </w:r>
      <w:r w:rsidRPr="003F2F63">
        <w:rPr>
          <w:rFonts w:ascii="Times New Roman" w:hAnsi="Times New Roman" w:cs="Times New Roman"/>
          <w:sz w:val="20"/>
          <w:szCs w:val="20"/>
        </w:rPr>
        <w:t xml:space="preserve">, 2019 U.S. Dist. LEXIS 64984, at *15 </w:t>
      </w:r>
      <w:bookmarkStart w:id="3" w:name="_Hlk74745249"/>
      <w:r w:rsidRPr="003F2F63">
        <w:rPr>
          <w:rFonts w:ascii="Times New Roman" w:hAnsi="Times New Roman" w:cs="Times New Roman"/>
          <w:sz w:val="20"/>
          <w:szCs w:val="20"/>
        </w:rPr>
        <w:t>(C.D. Cal., 2019)</w:t>
      </w:r>
      <w:bookmarkEnd w:id="3"/>
      <w:r w:rsidRPr="003F2F63">
        <w:rPr>
          <w:rFonts w:ascii="Times New Roman" w:hAnsi="Times New Roman" w:cs="Times New Roman"/>
          <w:sz w:val="20"/>
          <w:szCs w:val="20"/>
        </w:rPr>
        <w:t xml:space="preserve">; </w:t>
      </w:r>
      <w:r w:rsidRPr="003F2F63">
        <w:rPr>
          <w:rFonts w:ascii="Times New Roman" w:hAnsi="Times New Roman" w:cs="Times New Roman"/>
          <w:sz w:val="20"/>
          <w:szCs w:val="20"/>
          <w:u w:val="single"/>
        </w:rPr>
        <w:t>Woulard v. Greenwood Motor Lines, Inc</w:t>
      </w:r>
      <w:r w:rsidRPr="003F2F63">
        <w:rPr>
          <w:rFonts w:ascii="Times New Roman" w:hAnsi="Times New Roman" w:cs="Times New Roman"/>
          <w:sz w:val="20"/>
          <w:szCs w:val="20"/>
        </w:rPr>
        <w:t>., 2019 U.S. Dist. LEXIS 131701, at *20 (S.D. Miss., Feb. 4, 2019);</w:t>
      </w:r>
      <w:bookmarkEnd w:id="2"/>
      <w:r w:rsidRPr="003F2F63">
        <w:rPr>
          <w:rFonts w:ascii="Times New Roman" w:hAnsi="Times New Roman" w:cs="Times New Roman"/>
          <w:sz w:val="20"/>
          <w:szCs w:val="20"/>
        </w:rPr>
        <w:t xml:space="preserve"> </w:t>
      </w:r>
      <w:r w:rsidRPr="003F2F63">
        <w:rPr>
          <w:rFonts w:ascii="Times New Roman" w:hAnsi="Times New Roman" w:cs="Times New Roman"/>
          <w:sz w:val="20"/>
          <w:szCs w:val="20"/>
          <w:u w:val="single"/>
        </w:rPr>
        <w:t>Navab v. Young Choi</w:t>
      </w:r>
      <w:r w:rsidRPr="003F2F63">
        <w:rPr>
          <w:rFonts w:ascii="Times New Roman" w:hAnsi="Times New Roman" w:cs="Times New Roman"/>
          <w:sz w:val="20"/>
          <w:szCs w:val="20"/>
        </w:rPr>
        <w:t xml:space="preserve">, 2018 Cal. Super. LEXIS 24820, at *2 (Cal. Super. Ct. Nov. 7, 2018); </w:t>
      </w:r>
      <w:bookmarkStart w:id="4" w:name="_Hlk74747147"/>
      <w:r w:rsidRPr="003F2F63">
        <w:rPr>
          <w:rFonts w:ascii="Times New Roman" w:hAnsi="Times New Roman" w:cs="Times New Roman"/>
          <w:sz w:val="20"/>
          <w:szCs w:val="20"/>
          <w:u w:val="single"/>
        </w:rPr>
        <w:t>J.B.</w:t>
      </w:r>
      <w:r w:rsidRPr="003F2F63">
        <w:rPr>
          <w:rFonts w:ascii="Times New Roman" w:hAnsi="Times New Roman" w:cs="Times New Roman"/>
          <w:sz w:val="20"/>
          <w:szCs w:val="20"/>
        </w:rPr>
        <w:t>, 2018 U.S. Dist. LEXIS 19689, at *6-7</w:t>
      </w:r>
      <w:bookmarkEnd w:id="4"/>
      <w:r w:rsidRPr="003F2F63">
        <w:rPr>
          <w:rFonts w:ascii="Times New Roman" w:hAnsi="Times New Roman" w:cs="Times New Roman"/>
          <w:sz w:val="20"/>
          <w:szCs w:val="20"/>
        </w:rPr>
        <w:t xml:space="preserve">; </w:t>
      </w:r>
      <w:r w:rsidRPr="003F2F63">
        <w:rPr>
          <w:rFonts w:ascii="Times New Roman" w:hAnsi="Times New Roman" w:cs="Times New Roman"/>
          <w:sz w:val="20"/>
          <w:szCs w:val="20"/>
          <w:u w:val="single"/>
        </w:rPr>
        <w:t>Perez v. Ramos</w:t>
      </w:r>
      <w:r w:rsidRPr="003F2F63">
        <w:rPr>
          <w:rFonts w:ascii="Times New Roman" w:hAnsi="Times New Roman" w:cs="Times New Roman"/>
          <w:sz w:val="20"/>
          <w:szCs w:val="20"/>
        </w:rPr>
        <w:t xml:space="preserve">, 429 P.3d 254 (Kan. Ct. App. 2018); </w:t>
      </w:r>
      <w:r w:rsidRPr="003F2F63">
        <w:rPr>
          <w:rFonts w:ascii="Times New Roman" w:hAnsi="Times New Roman" w:cs="Times New Roman"/>
          <w:sz w:val="20"/>
          <w:szCs w:val="20"/>
          <w:u w:val="single"/>
        </w:rPr>
        <w:t>Higbee v. Anesthesia Servs. Assocs., P.C.</w:t>
      </w:r>
      <w:r w:rsidRPr="003F2F63">
        <w:rPr>
          <w:rFonts w:ascii="Times New Roman" w:hAnsi="Times New Roman" w:cs="Times New Roman"/>
          <w:sz w:val="20"/>
          <w:szCs w:val="20"/>
        </w:rPr>
        <w:t>, 2018 Mich. Cir. LEXIS 1648, at *1 (</w:t>
      </w:r>
      <w:proofErr w:type="spellStart"/>
      <w:r w:rsidRPr="003F2F63">
        <w:rPr>
          <w:rFonts w:ascii="Times New Roman" w:hAnsi="Times New Roman" w:cs="Times New Roman"/>
          <w:sz w:val="20"/>
          <w:szCs w:val="20"/>
        </w:rPr>
        <w:t>Mich.Cir.Ct</w:t>
      </w:r>
      <w:proofErr w:type="spellEnd"/>
      <w:r w:rsidRPr="003F2F63">
        <w:rPr>
          <w:rFonts w:ascii="Times New Roman" w:hAnsi="Times New Roman" w:cs="Times New Roman"/>
          <w:sz w:val="20"/>
          <w:szCs w:val="20"/>
        </w:rPr>
        <w:t xml:space="preserve">. Sept. 26, 2018); </w:t>
      </w:r>
      <w:r w:rsidRPr="003F2F63">
        <w:rPr>
          <w:rFonts w:ascii="Times New Roman" w:hAnsi="Times New Roman" w:cs="Times New Roman"/>
          <w:sz w:val="20"/>
          <w:szCs w:val="20"/>
          <w:u w:val="single"/>
        </w:rPr>
        <w:t>Everett v. Oakland</w:t>
      </w:r>
      <w:r w:rsidRPr="003F2F63">
        <w:rPr>
          <w:rFonts w:ascii="Times New Roman" w:hAnsi="Times New Roman" w:cs="Times New Roman"/>
          <w:sz w:val="20"/>
          <w:szCs w:val="20"/>
        </w:rPr>
        <w:t>, 2018 Mich. Cir. LEXIS 2517, at *1 (</w:t>
      </w:r>
      <w:proofErr w:type="spellStart"/>
      <w:r w:rsidRPr="003F2F63">
        <w:rPr>
          <w:rFonts w:ascii="Times New Roman" w:hAnsi="Times New Roman" w:cs="Times New Roman"/>
          <w:sz w:val="20"/>
          <w:szCs w:val="20"/>
        </w:rPr>
        <w:t>Mich.Cir.Ct</w:t>
      </w:r>
      <w:proofErr w:type="spellEnd"/>
      <w:r w:rsidRPr="003F2F63">
        <w:rPr>
          <w:rFonts w:ascii="Times New Roman" w:hAnsi="Times New Roman" w:cs="Times New Roman"/>
          <w:sz w:val="20"/>
          <w:szCs w:val="20"/>
        </w:rPr>
        <w:t xml:space="preserve">. Aug. 8, 2018); </w:t>
      </w:r>
      <w:r w:rsidRPr="003F2F63">
        <w:rPr>
          <w:rFonts w:ascii="Times New Roman" w:hAnsi="Times New Roman" w:cs="Times New Roman"/>
          <w:sz w:val="20"/>
          <w:szCs w:val="20"/>
          <w:u w:val="single"/>
        </w:rPr>
        <w:t>Ramirez v. Welch</w:t>
      </w:r>
      <w:r w:rsidRPr="003F2F63">
        <w:rPr>
          <w:rFonts w:ascii="Times New Roman" w:hAnsi="Times New Roman" w:cs="Times New Roman"/>
          <w:sz w:val="20"/>
          <w:szCs w:val="20"/>
        </w:rPr>
        <w:t xml:space="preserve">, 2018 Tex. App. LEXIS 6101, at *43 (Tex. Ct. App.  Aug. 6, 2018) (rejecting plaintiff’s objection to defendant’s closing argument accusing his counsel of attempting to manipulate the jury through the reptile theory); </w:t>
      </w:r>
      <w:r w:rsidRPr="003F2F63">
        <w:rPr>
          <w:rFonts w:ascii="Times New Roman" w:hAnsi="Times New Roman" w:cs="Times New Roman"/>
          <w:sz w:val="20"/>
          <w:szCs w:val="20"/>
          <w:u w:val="single"/>
        </w:rPr>
        <w:t>Brooks</w:t>
      </w:r>
      <w:r w:rsidRPr="003F2F63">
        <w:rPr>
          <w:rFonts w:ascii="Times New Roman" w:hAnsi="Times New Roman" w:cs="Times New Roman"/>
          <w:sz w:val="20"/>
          <w:szCs w:val="20"/>
        </w:rPr>
        <w:t xml:space="preserve">, </w:t>
      </w:r>
      <w:bookmarkStart w:id="5" w:name="_Hlk74740374"/>
      <w:r w:rsidRPr="003F2F63">
        <w:rPr>
          <w:rFonts w:ascii="Times New Roman" w:hAnsi="Times New Roman" w:cs="Times New Roman"/>
          <w:sz w:val="20"/>
          <w:szCs w:val="20"/>
        </w:rPr>
        <w:t>2017 U.S. Dist. LEXIS 125095, at *2</w:t>
      </w:r>
      <w:bookmarkEnd w:id="5"/>
      <w:r w:rsidRPr="003F2F63">
        <w:rPr>
          <w:rFonts w:ascii="Times New Roman" w:hAnsi="Times New Roman" w:cs="Times New Roman"/>
          <w:sz w:val="20"/>
          <w:szCs w:val="20"/>
        </w:rPr>
        <w:t xml:space="preserve">4; </w:t>
      </w:r>
      <w:r w:rsidRPr="003F2F63">
        <w:rPr>
          <w:rFonts w:ascii="Times New Roman" w:hAnsi="Times New Roman" w:cs="Times New Roman"/>
          <w:sz w:val="20"/>
          <w:szCs w:val="20"/>
          <w:u w:val="single"/>
        </w:rPr>
        <w:t>Tristan v. Bayada Home Health Care, Inc</w:t>
      </w:r>
      <w:r w:rsidRPr="003F2F63">
        <w:rPr>
          <w:rFonts w:ascii="Times New Roman" w:hAnsi="Times New Roman" w:cs="Times New Roman"/>
          <w:sz w:val="20"/>
          <w:szCs w:val="20"/>
        </w:rPr>
        <w:t>., 2017 Colo. Dist. LEXIS 28, at *2 (</w:t>
      </w:r>
      <w:proofErr w:type="spellStart"/>
      <w:r w:rsidRPr="003F2F63">
        <w:rPr>
          <w:rFonts w:ascii="Times New Roman" w:hAnsi="Times New Roman" w:cs="Times New Roman"/>
          <w:sz w:val="20"/>
          <w:szCs w:val="20"/>
        </w:rPr>
        <w:t>Dist.Ct</w:t>
      </w:r>
      <w:proofErr w:type="spellEnd"/>
      <w:r w:rsidRPr="003F2F63">
        <w:rPr>
          <w:rFonts w:ascii="Times New Roman" w:hAnsi="Times New Roman" w:cs="Times New Roman"/>
          <w:sz w:val="20"/>
          <w:szCs w:val="20"/>
        </w:rPr>
        <w:t xml:space="preserve">., Denver Co. Feb. 1, 2017); </w:t>
      </w:r>
      <w:r w:rsidRPr="003F2F63">
        <w:rPr>
          <w:rFonts w:ascii="Times New Roman" w:hAnsi="Times New Roman" w:cs="Times New Roman"/>
          <w:sz w:val="20"/>
          <w:szCs w:val="20"/>
          <w:u w:val="single"/>
        </w:rPr>
        <w:t xml:space="preserve">Pracht v. Saga </w:t>
      </w:r>
      <w:proofErr w:type="spellStart"/>
      <w:r w:rsidRPr="003F2F63">
        <w:rPr>
          <w:rFonts w:ascii="Times New Roman" w:hAnsi="Times New Roman" w:cs="Times New Roman"/>
          <w:sz w:val="20"/>
          <w:szCs w:val="20"/>
          <w:u w:val="single"/>
        </w:rPr>
        <w:t>Frgt</w:t>
      </w:r>
      <w:proofErr w:type="spellEnd"/>
      <w:r w:rsidRPr="003F2F63">
        <w:rPr>
          <w:rFonts w:ascii="Times New Roman" w:hAnsi="Times New Roman" w:cs="Times New Roman"/>
          <w:sz w:val="20"/>
          <w:szCs w:val="20"/>
          <w:u w:val="single"/>
        </w:rPr>
        <w:t>. Logistics, LLC</w:t>
      </w:r>
      <w:r w:rsidRPr="003F2F63">
        <w:rPr>
          <w:rFonts w:ascii="Times New Roman" w:hAnsi="Times New Roman" w:cs="Times New Roman"/>
          <w:sz w:val="20"/>
          <w:szCs w:val="20"/>
        </w:rPr>
        <w:t xml:space="preserve">, 2015 U.S. Dist. LEXIS 149775, at *4 (W.D.N.C. Oct. 30, 2015); </w:t>
      </w:r>
      <w:r w:rsidRPr="003F2F63">
        <w:rPr>
          <w:rFonts w:ascii="Times New Roman" w:hAnsi="Times New Roman" w:cs="Times New Roman"/>
          <w:sz w:val="20"/>
          <w:szCs w:val="20"/>
          <w:u w:val="single"/>
        </w:rPr>
        <w:t>Hopper v. Obergfell</w:t>
      </w:r>
      <w:r w:rsidRPr="003F2F63">
        <w:rPr>
          <w:rFonts w:ascii="Times New Roman" w:hAnsi="Times New Roman" w:cs="Times New Roman"/>
          <w:sz w:val="20"/>
          <w:szCs w:val="20"/>
        </w:rPr>
        <w:t>, 2013 Colo. Dist. LEXIS 249, at *1 (</w:t>
      </w:r>
      <w:proofErr w:type="spellStart"/>
      <w:r w:rsidRPr="003F2F63">
        <w:rPr>
          <w:rFonts w:ascii="Times New Roman" w:hAnsi="Times New Roman" w:cs="Times New Roman"/>
          <w:sz w:val="20"/>
          <w:szCs w:val="20"/>
        </w:rPr>
        <w:t>Dist.Ct</w:t>
      </w:r>
      <w:proofErr w:type="spellEnd"/>
      <w:r w:rsidRPr="003F2F63">
        <w:rPr>
          <w:rFonts w:ascii="Times New Roman" w:hAnsi="Times New Roman" w:cs="Times New Roman"/>
          <w:sz w:val="20"/>
          <w:szCs w:val="20"/>
        </w:rPr>
        <w:t>., El Paso Co. Oct. 29, 2013).</w:t>
      </w:r>
    </w:p>
    <w:p w14:paraId="2BD96237" w14:textId="4B4AD418" w:rsidR="003F2F63" w:rsidRPr="003F2F63" w:rsidRDefault="003F2F63" w:rsidP="003F2F63">
      <w:pPr>
        <w:pStyle w:val="FootnoteText"/>
        <w:contextualSpacing/>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45D"/>
    <w:multiLevelType w:val="hybridMultilevel"/>
    <w:tmpl w:val="FD6CB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6C6D52"/>
    <w:multiLevelType w:val="hybridMultilevel"/>
    <w:tmpl w:val="76B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74A94"/>
    <w:multiLevelType w:val="hybridMultilevel"/>
    <w:tmpl w:val="10F4D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5A4DB6"/>
    <w:multiLevelType w:val="hybridMultilevel"/>
    <w:tmpl w:val="883E170E"/>
    <w:lvl w:ilvl="0" w:tplc="F0CAF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697822">
    <w:abstractNumId w:val="2"/>
  </w:num>
  <w:num w:numId="2" w16cid:durableId="344286652">
    <w:abstractNumId w:val="1"/>
  </w:num>
  <w:num w:numId="3" w16cid:durableId="694844409">
    <w:abstractNumId w:val="0"/>
  </w:num>
  <w:num w:numId="4" w16cid:durableId="1251624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C1"/>
    <w:rsid w:val="00001A13"/>
    <w:rsid w:val="000030AF"/>
    <w:rsid w:val="000058ED"/>
    <w:rsid w:val="00011A08"/>
    <w:rsid w:val="00011A78"/>
    <w:rsid w:val="0002272D"/>
    <w:rsid w:val="00023E72"/>
    <w:rsid w:val="00032D43"/>
    <w:rsid w:val="00042C01"/>
    <w:rsid w:val="0005354D"/>
    <w:rsid w:val="00067EC0"/>
    <w:rsid w:val="000732AC"/>
    <w:rsid w:val="000859C7"/>
    <w:rsid w:val="00094139"/>
    <w:rsid w:val="000C2E8B"/>
    <w:rsid w:val="000C75B4"/>
    <w:rsid w:val="000D0521"/>
    <w:rsid w:val="000E01E0"/>
    <w:rsid w:val="001115FB"/>
    <w:rsid w:val="001213F1"/>
    <w:rsid w:val="00125AC0"/>
    <w:rsid w:val="001353AB"/>
    <w:rsid w:val="001363E3"/>
    <w:rsid w:val="00157C50"/>
    <w:rsid w:val="00157E64"/>
    <w:rsid w:val="0016431F"/>
    <w:rsid w:val="001643A7"/>
    <w:rsid w:val="00170F28"/>
    <w:rsid w:val="00170FFB"/>
    <w:rsid w:val="00173D47"/>
    <w:rsid w:val="001903A4"/>
    <w:rsid w:val="001B2A12"/>
    <w:rsid w:val="001B7416"/>
    <w:rsid w:val="001C3996"/>
    <w:rsid w:val="001C6200"/>
    <w:rsid w:val="001D32B8"/>
    <w:rsid w:val="001D6665"/>
    <w:rsid w:val="001E3B51"/>
    <w:rsid w:val="001E7731"/>
    <w:rsid w:val="002018E7"/>
    <w:rsid w:val="00201F16"/>
    <w:rsid w:val="0020544E"/>
    <w:rsid w:val="002128D5"/>
    <w:rsid w:val="0021518C"/>
    <w:rsid w:val="002314E9"/>
    <w:rsid w:val="00233420"/>
    <w:rsid w:val="00240130"/>
    <w:rsid w:val="002404FB"/>
    <w:rsid w:val="00246398"/>
    <w:rsid w:val="00252ACF"/>
    <w:rsid w:val="00253C3B"/>
    <w:rsid w:val="002659CB"/>
    <w:rsid w:val="00273519"/>
    <w:rsid w:val="00276371"/>
    <w:rsid w:val="00280851"/>
    <w:rsid w:val="00284AC2"/>
    <w:rsid w:val="0029047A"/>
    <w:rsid w:val="00295435"/>
    <w:rsid w:val="00297030"/>
    <w:rsid w:val="002A489B"/>
    <w:rsid w:val="002C03DB"/>
    <w:rsid w:val="002C1D7E"/>
    <w:rsid w:val="002C3539"/>
    <w:rsid w:val="002C6C50"/>
    <w:rsid w:val="002D1720"/>
    <w:rsid w:val="002D7982"/>
    <w:rsid w:val="002F082A"/>
    <w:rsid w:val="002F358B"/>
    <w:rsid w:val="002F36A1"/>
    <w:rsid w:val="002F6F01"/>
    <w:rsid w:val="00301983"/>
    <w:rsid w:val="003037E5"/>
    <w:rsid w:val="00307256"/>
    <w:rsid w:val="00313707"/>
    <w:rsid w:val="00326D6F"/>
    <w:rsid w:val="00341AE0"/>
    <w:rsid w:val="003511B7"/>
    <w:rsid w:val="00372A3D"/>
    <w:rsid w:val="003753D1"/>
    <w:rsid w:val="0037611C"/>
    <w:rsid w:val="003861A6"/>
    <w:rsid w:val="00386FF9"/>
    <w:rsid w:val="003919A7"/>
    <w:rsid w:val="00392456"/>
    <w:rsid w:val="003A5EE3"/>
    <w:rsid w:val="003B2F90"/>
    <w:rsid w:val="003B4F3B"/>
    <w:rsid w:val="003C1D65"/>
    <w:rsid w:val="003D1708"/>
    <w:rsid w:val="003D2DA0"/>
    <w:rsid w:val="003D6930"/>
    <w:rsid w:val="003E221C"/>
    <w:rsid w:val="003E3CAF"/>
    <w:rsid w:val="003E4F92"/>
    <w:rsid w:val="003F2F63"/>
    <w:rsid w:val="003F4E29"/>
    <w:rsid w:val="004002A2"/>
    <w:rsid w:val="00403AC3"/>
    <w:rsid w:val="00407C07"/>
    <w:rsid w:val="0041159E"/>
    <w:rsid w:val="00412747"/>
    <w:rsid w:val="00431F04"/>
    <w:rsid w:val="00434B27"/>
    <w:rsid w:val="0043641C"/>
    <w:rsid w:val="00441577"/>
    <w:rsid w:val="00442C62"/>
    <w:rsid w:val="00445444"/>
    <w:rsid w:val="004463A2"/>
    <w:rsid w:val="004509DB"/>
    <w:rsid w:val="00452EB9"/>
    <w:rsid w:val="00460735"/>
    <w:rsid w:val="00463A07"/>
    <w:rsid w:val="00464BFC"/>
    <w:rsid w:val="00465297"/>
    <w:rsid w:val="0046702A"/>
    <w:rsid w:val="00472889"/>
    <w:rsid w:val="004736B8"/>
    <w:rsid w:val="004759A4"/>
    <w:rsid w:val="00481AEF"/>
    <w:rsid w:val="00483098"/>
    <w:rsid w:val="004840CE"/>
    <w:rsid w:val="00484148"/>
    <w:rsid w:val="0049060B"/>
    <w:rsid w:val="004907B7"/>
    <w:rsid w:val="004A0AE8"/>
    <w:rsid w:val="004A6D77"/>
    <w:rsid w:val="004B7F0A"/>
    <w:rsid w:val="004C2288"/>
    <w:rsid w:val="004C29C4"/>
    <w:rsid w:val="004C5E29"/>
    <w:rsid w:val="004D1A87"/>
    <w:rsid w:val="004E3A5E"/>
    <w:rsid w:val="00510E9E"/>
    <w:rsid w:val="0052676B"/>
    <w:rsid w:val="005318C8"/>
    <w:rsid w:val="00531963"/>
    <w:rsid w:val="005322E4"/>
    <w:rsid w:val="005402E4"/>
    <w:rsid w:val="00546743"/>
    <w:rsid w:val="00546E37"/>
    <w:rsid w:val="005503BD"/>
    <w:rsid w:val="005553C2"/>
    <w:rsid w:val="0055686C"/>
    <w:rsid w:val="0056227A"/>
    <w:rsid w:val="0056774E"/>
    <w:rsid w:val="00576D3B"/>
    <w:rsid w:val="0059709B"/>
    <w:rsid w:val="005B53B4"/>
    <w:rsid w:val="005B69F4"/>
    <w:rsid w:val="005C145C"/>
    <w:rsid w:val="005C2FA9"/>
    <w:rsid w:val="005D558D"/>
    <w:rsid w:val="005E27C4"/>
    <w:rsid w:val="005E6319"/>
    <w:rsid w:val="005F3FA2"/>
    <w:rsid w:val="006004AF"/>
    <w:rsid w:val="006040B1"/>
    <w:rsid w:val="00607610"/>
    <w:rsid w:val="00620207"/>
    <w:rsid w:val="00623FBD"/>
    <w:rsid w:val="006250FA"/>
    <w:rsid w:val="006279BB"/>
    <w:rsid w:val="0063395A"/>
    <w:rsid w:val="006372C5"/>
    <w:rsid w:val="00647B05"/>
    <w:rsid w:val="006656AB"/>
    <w:rsid w:val="006706C8"/>
    <w:rsid w:val="0069296A"/>
    <w:rsid w:val="00695827"/>
    <w:rsid w:val="006A2F38"/>
    <w:rsid w:val="006A3315"/>
    <w:rsid w:val="006B3CEA"/>
    <w:rsid w:val="006B73E5"/>
    <w:rsid w:val="006D4E39"/>
    <w:rsid w:val="006D7141"/>
    <w:rsid w:val="006E56C7"/>
    <w:rsid w:val="006F028C"/>
    <w:rsid w:val="006F0AA7"/>
    <w:rsid w:val="006F3739"/>
    <w:rsid w:val="007045B4"/>
    <w:rsid w:val="00712F96"/>
    <w:rsid w:val="007168A1"/>
    <w:rsid w:val="007247D9"/>
    <w:rsid w:val="007457A4"/>
    <w:rsid w:val="00746B56"/>
    <w:rsid w:val="00756B95"/>
    <w:rsid w:val="00760F5B"/>
    <w:rsid w:val="00762F16"/>
    <w:rsid w:val="007637D2"/>
    <w:rsid w:val="00782E8E"/>
    <w:rsid w:val="00784B1E"/>
    <w:rsid w:val="00786B00"/>
    <w:rsid w:val="0079476A"/>
    <w:rsid w:val="007A10E6"/>
    <w:rsid w:val="007A7028"/>
    <w:rsid w:val="007C2A4F"/>
    <w:rsid w:val="0080062F"/>
    <w:rsid w:val="00803D83"/>
    <w:rsid w:val="00804995"/>
    <w:rsid w:val="008067BA"/>
    <w:rsid w:val="0081273C"/>
    <w:rsid w:val="00812CCD"/>
    <w:rsid w:val="00813D94"/>
    <w:rsid w:val="0082137A"/>
    <w:rsid w:val="00822F18"/>
    <w:rsid w:val="00827125"/>
    <w:rsid w:val="00833FED"/>
    <w:rsid w:val="00835862"/>
    <w:rsid w:val="00836AAE"/>
    <w:rsid w:val="008411A0"/>
    <w:rsid w:val="00845AD1"/>
    <w:rsid w:val="0085215F"/>
    <w:rsid w:val="008570B8"/>
    <w:rsid w:val="00870342"/>
    <w:rsid w:val="00876052"/>
    <w:rsid w:val="00877FBB"/>
    <w:rsid w:val="008803EF"/>
    <w:rsid w:val="00887EC2"/>
    <w:rsid w:val="008A3FE2"/>
    <w:rsid w:val="008D0715"/>
    <w:rsid w:val="008D16EE"/>
    <w:rsid w:val="008D5ED5"/>
    <w:rsid w:val="008F38D4"/>
    <w:rsid w:val="008F4244"/>
    <w:rsid w:val="008F4D51"/>
    <w:rsid w:val="009041DB"/>
    <w:rsid w:val="0090731E"/>
    <w:rsid w:val="009100C1"/>
    <w:rsid w:val="00916129"/>
    <w:rsid w:val="00916389"/>
    <w:rsid w:val="009316AC"/>
    <w:rsid w:val="00932C8D"/>
    <w:rsid w:val="00935AF2"/>
    <w:rsid w:val="00936976"/>
    <w:rsid w:val="00940129"/>
    <w:rsid w:val="009426F9"/>
    <w:rsid w:val="00943E61"/>
    <w:rsid w:val="00952120"/>
    <w:rsid w:val="009556FF"/>
    <w:rsid w:val="009630B9"/>
    <w:rsid w:val="00963CB1"/>
    <w:rsid w:val="00964C09"/>
    <w:rsid w:val="00966C3A"/>
    <w:rsid w:val="00971F96"/>
    <w:rsid w:val="00973D1D"/>
    <w:rsid w:val="009813A4"/>
    <w:rsid w:val="00982BCD"/>
    <w:rsid w:val="00987CBA"/>
    <w:rsid w:val="009934E6"/>
    <w:rsid w:val="009937BC"/>
    <w:rsid w:val="009959B9"/>
    <w:rsid w:val="009A05AE"/>
    <w:rsid w:val="009A0DB8"/>
    <w:rsid w:val="009A12D7"/>
    <w:rsid w:val="009A1E0A"/>
    <w:rsid w:val="009A40B4"/>
    <w:rsid w:val="009B1D70"/>
    <w:rsid w:val="009B2AEB"/>
    <w:rsid w:val="009C222B"/>
    <w:rsid w:val="009D3A08"/>
    <w:rsid w:val="009E48CA"/>
    <w:rsid w:val="009F269B"/>
    <w:rsid w:val="009F77E1"/>
    <w:rsid w:val="00A0269A"/>
    <w:rsid w:val="00A069EB"/>
    <w:rsid w:val="00A0731F"/>
    <w:rsid w:val="00A12582"/>
    <w:rsid w:val="00A131F9"/>
    <w:rsid w:val="00A14BC6"/>
    <w:rsid w:val="00A14EF8"/>
    <w:rsid w:val="00A15E06"/>
    <w:rsid w:val="00A25845"/>
    <w:rsid w:val="00A2735E"/>
    <w:rsid w:val="00A32569"/>
    <w:rsid w:val="00A40A1A"/>
    <w:rsid w:val="00A50669"/>
    <w:rsid w:val="00A50E0F"/>
    <w:rsid w:val="00A51259"/>
    <w:rsid w:val="00A52F6A"/>
    <w:rsid w:val="00A55F3F"/>
    <w:rsid w:val="00A6316F"/>
    <w:rsid w:val="00A631E2"/>
    <w:rsid w:val="00A64CE6"/>
    <w:rsid w:val="00A70148"/>
    <w:rsid w:val="00A72C52"/>
    <w:rsid w:val="00A7427F"/>
    <w:rsid w:val="00A7676C"/>
    <w:rsid w:val="00A7691E"/>
    <w:rsid w:val="00A81043"/>
    <w:rsid w:val="00A92F12"/>
    <w:rsid w:val="00AA4AD2"/>
    <w:rsid w:val="00AA5FFB"/>
    <w:rsid w:val="00AB0B06"/>
    <w:rsid w:val="00AB7417"/>
    <w:rsid w:val="00AE0DFC"/>
    <w:rsid w:val="00AE6512"/>
    <w:rsid w:val="00AE79A2"/>
    <w:rsid w:val="00AF0A70"/>
    <w:rsid w:val="00AF5F8E"/>
    <w:rsid w:val="00B07EE9"/>
    <w:rsid w:val="00B220D6"/>
    <w:rsid w:val="00B30D3B"/>
    <w:rsid w:val="00B41530"/>
    <w:rsid w:val="00B753D5"/>
    <w:rsid w:val="00B830FE"/>
    <w:rsid w:val="00B91892"/>
    <w:rsid w:val="00B91E54"/>
    <w:rsid w:val="00B93EFD"/>
    <w:rsid w:val="00B953B1"/>
    <w:rsid w:val="00BA28E1"/>
    <w:rsid w:val="00BA5343"/>
    <w:rsid w:val="00BB2C9D"/>
    <w:rsid w:val="00BB7226"/>
    <w:rsid w:val="00BC7057"/>
    <w:rsid w:val="00BE0208"/>
    <w:rsid w:val="00BE6CC1"/>
    <w:rsid w:val="00BE739E"/>
    <w:rsid w:val="00BF0B5D"/>
    <w:rsid w:val="00C0742D"/>
    <w:rsid w:val="00C227E8"/>
    <w:rsid w:val="00C26517"/>
    <w:rsid w:val="00C32ACF"/>
    <w:rsid w:val="00C419CF"/>
    <w:rsid w:val="00C4228C"/>
    <w:rsid w:val="00C4429F"/>
    <w:rsid w:val="00C51CFC"/>
    <w:rsid w:val="00C51E80"/>
    <w:rsid w:val="00C60492"/>
    <w:rsid w:val="00C651A2"/>
    <w:rsid w:val="00C749AC"/>
    <w:rsid w:val="00C82697"/>
    <w:rsid w:val="00C85CED"/>
    <w:rsid w:val="00C92272"/>
    <w:rsid w:val="00C9263A"/>
    <w:rsid w:val="00C94BC8"/>
    <w:rsid w:val="00CA2407"/>
    <w:rsid w:val="00CA3B15"/>
    <w:rsid w:val="00CB66F6"/>
    <w:rsid w:val="00CC08CD"/>
    <w:rsid w:val="00CD1B6C"/>
    <w:rsid w:val="00CE0C66"/>
    <w:rsid w:val="00CE1010"/>
    <w:rsid w:val="00CE4F8E"/>
    <w:rsid w:val="00CE5AE6"/>
    <w:rsid w:val="00CF0955"/>
    <w:rsid w:val="00D0110D"/>
    <w:rsid w:val="00D01AAB"/>
    <w:rsid w:val="00D02698"/>
    <w:rsid w:val="00D1321A"/>
    <w:rsid w:val="00D17C52"/>
    <w:rsid w:val="00D24B98"/>
    <w:rsid w:val="00D3574E"/>
    <w:rsid w:val="00D363E2"/>
    <w:rsid w:val="00D406DC"/>
    <w:rsid w:val="00D46294"/>
    <w:rsid w:val="00D5580F"/>
    <w:rsid w:val="00D63057"/>
    <w:rsid w:val="00D643F8"/>
    <w:rsid w:val="00D65355"/>
    <w:rsid w:val="00D66F1C"/>
    <w:rsid w:val="00D80842"/>
    <w:rsid w:val="00D966F2"/>
    <w:rsid w:val="00DA1EC7"/>
    <w:rsid w:val="00DA3E33"/>
    <w:rsid w:val="00DB6C7D"/>
    <w:rsid w:val="00DC01E7"/>
    <w:rsid w:val="00DC315E"/>
    <w:rsid w:val="00DD67DA"/>
    <w:rsid w:val="00DD77AF"/>
    <w:rsid w:val="00DE1891"/>
    <w:rsid w:val="00DE5126"/>
    <w:rsid w:val="00DF39AD"/>
    <w:rsid w:val="00DF5BF3"/>
    <w:rsid w:val="00E0452C"/>
    <w:rsid w:val="00E04B7A"/>
    <w:rsid w:val="00E160C6"/>
    <w:rsid w:val="00E16D90"/>
    <w:rsid w:val="00E33C43"/>
    <w:rsid w:val="00E73D5B"/>
    <w:rsid w:val="00E75200"/>
    <w:rsid w:val="00E960DF"/>
    <w:rsid w:val="00EA2094"/>
    <w:rsid w:val="00EB0259"/>
    <w:rsid w:val="00EC1073"/>
    <w:rsid w:val="00EE60CE"/>
    <w:rsid w:val="00EE79D2"/>
    <w:rsid w:val="00F003CF"/>
    <w:rsid w:val="00F04DC1"/>
    <w:rsid w:val="00F07036"/>
    <w:rsid w:val="00F22202"/>
    <w:rsid w:val="00F25376"/>
    <w:rsid w:val="00F254CE"/>
    <w:rsid w:val="00F263AD"/>
    <w:rsid w:val="00F27597"/>
    <w:rsid w:val="00F312D6"/>
    <w:rsid w:val="00F47390"/>
    <w:rsid w:val="00F66087"/>
    <w:rsid w:val="00F759F2"/>
    <w:rsid w:val="00F76A82"/>
    <w:rsid w:val="00F83996"/>
    <w:rsid w:val="00F90E96"/>
    <w:rsid w:val="00FA36CB"/>
    <w:rsid w:val="00FA7D91"/>
    <w:rsid w:val="00FB0EC2"/>
    <w:rsid w:val="00FB5D0C"/>
    <w:rsid w:val="00FB68D8"/>
    <w:rsid w:val="00FC1984"/>
    <w:rsid w:val="00FE7BB8"/>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E102"/>
  <w15:chartTrackingRefBased/>
  <w15:docId w15:val="{5C1536AB-032E-41C4-B649-02460703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C1"/>
    <w:pPr>
      <w:spacing w:line="256" w:lineRule="auto"/>
    </w:pPr>
  </w:style>
  <w:style w:type="paragraph" w:styleId="Heading1">
    <w:name w:val="heading 1"/>
    <w:basedOn w:val="Normal"/>
    <w:next w:val="Normal"/>
    <w:link w:val="Heading1Char"/>
    <w:uiPriority w:val="9"/>
    <w:qFormat/>
    <w:rsid w:val="00F0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DC1"/>
    <w:rPr>
      <w:rFonts w:eastAsiaTheme="majorEastAsia" w:cstheme="majorBidi"/>
      <w:color w:val="272727" w:themeColor="text1" w:themeTint="D8"/>
    </w:rPr>
  </w:style>
  <w:style w:type="paragraph" w:styleId="Title">
    <w:name w:val="Title"/>
    <w:basedOn w:val="Normal"/>
    <w:next w:val="Normal"/>
    <w:link w:val="TitleChar"/>
    <w:uiPriority w:val="10"/>
    <w:qFormat/>
    <w:rsid w:val="00F0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C1"/>
    <w:pPr>
      <w:spacing w:before="160"/>
      <w:jc w:val="center"/>
    </w:pPr>
    <w:rPr>
      <w:i/>
      <w:iCs/>
      <w:color w:val="404040" w:themeColor="text1" w:themeTint="BF"/>
    </w:rPr>
  </w:style>
  <w:style w:type="character" w:customStyle="1" w:styleId="QuoteChar">
    <w:name w:val="Quote Char"/>
    <w:basedOn w:val="DefaultParagraphFont"/>
    <w:link w:val="Quote"/>
    <w:uiPriority w:val="29"/>
    <w:rsid w:val="00F04DC1"/>
    <w:rPr>
      <w:i/>
      <w:iCs/>
      <w:color w:val="404040" w:themeColor="text1" w:themeTint="BF"/>
    </w:rPr>
  </w:style>
  <w:style w:type="paragraph" w:styleId="ListParagraph">
    <w:name w:val="List Paragraph"/>
    <w:basedOn w:val="Normal"/>
    <w:uiPriority w:val="34"/>
    <w:qFormat/>
    <w:rsid w:val="00F04DC1"/>
    <w:pPr>
      <w:ind w:left="720"/>
      <w:contextualSpacing/>
    </w:pPr>
  </w:style>
  <w:style w:type="character" w:styleId="IntenseEmphasis">
    <w:name w:val="Intense Emphasis"/>
    <w:basedOn w:val="DefaultParagraphFont"/>
    <w:uiPriority w:val="21"/>
    <w:qFormat/>
    <w:rsid w:val="00F04DC1"/>
    <w:rPr>
      <w:i/>
      <w:iCs/>
      <w:color w:val="0F4761" w:themeColor="accent1" w:themeShade="BF"/>
    </w:rPr>
  </w:style>
  <w:style w:type="paragraph" w:styleId="IntenseQuote">
    <w:name w:val="Intense Quote"/>
    <w:basedOn w:val="Normal"/>
    <w:next w:val="Normal"/>
    <w:link w:val="IntenseQuoteChar"/>
    <w:uiPriority w:val="30"/>
    <w:qFormat/>
    <w:rsid w:val="00F0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DC1"/>
    <w:rPr>
      <w:i/>
      <w:iCs/>
      <w:color w:val="0F4761" w:themeColor="accent1" w:themeShade="BF"/>
    </w:rPr>
  </w:style>
  <w:style w:type="character" w:styleId="IntenseReference">
    <w:name w:val="Intense Reference"/>
    <w:basedOn w:val="DefaultParagraphFont"/>
    <w:uiPriority w:val="32"/>
    <w:qFormat/>
    <w:rsid w:val="00F04DC1"/>
    <w:rPr>
      <w:b/>
      <w:bCs/>
      <w:smallCaps/>
      <w:color w:val="0F4761" w:themeColor="accent1" w:themeShade="BF"/>
      <w:spacing w:val="5"/>
    </w:rPr>
  </w:style>
  <w:style w:type="paragraph" w:styleId="FootnoteText">
    <w:name w:val="footnote text"/>
    <w:basedOn w:val="Normal"/>
    <w:link w:val="FootnoteTextChar"/>
    <w:uiPriority w:val="99"/>
    <w:unhideWhenUsed/>
    <w:rsid w:val="00F04DC1"/>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rsid w:val="00F04DC1"/>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unhideWhenUsed/>
    <w:rsid w:val="00F04DC1"/>
    <w:rPr>
      <w:vertAlign w:val="superscript"/>
    </w:rPr>
  </w:style>
  <w:style w:type="character" w:styleId="CommentReference">
    <w:name w:val="annotation reference"/>
    <w:basedOn w:val="DefaultParagraphFont"/>
    <w:uiPriority w:val="99"/>
    <w:semiHidden/>
    <w:unhideWhenUsed/>
    <w:rsid w:val="005D558D"/>
    <w:rPr>
      <w:sz w:val="16"/>
      <w:szCs w:val="16"/>
    </w:rPr>
  </w:style>
  <w:style w:type="paragraph" w:styleId="CommentText">
    <w:name w:val="annotation text"/>
    <w:basedOn w:val="Normal"/>
    <w:link w:val="CommentTextChar"/>
    <w:uiPriority w:val="99"/>
    <w:unhideWhenUsed/>
    <w:rsid w:val="005D558D"/>
    <w:pPr>
      <w:spacing w:line="240" w:lineRule="auto"/>
    </w:pPr>
    <w:rPr>
      <w:sz w:val="20"/>
      <w:szCs w:val="20"/>
    </w:rPr>
  </w:style>
  <w:style w:type="character" w:customStyle="1" w:styleId="CommentTextChar">
    <w:name w:val="Comment Text Char"/>
    <w:basedOn w:val="DefaultParagraphFont"/>
    <w:link w:val="CommentText"/>
    <w:uiPriority w:val="99"/>
    <w:rsid w:val="005D558D"/>
    <w:rPr>
      <w:sz w:val="20"/>
      <w:szCs w:val="20"/>
    </w:rPr>
  </w:style>
  <w:style w:type="paragraph" w:styleId="CommentSubject">
    <w:name w:val="annotation subject"/>
    <w:basedOn w:val="CommentText"/>
    <w:next w:val="CommentText"/>
    <w:link w:val="CommentSubjectChar"/>
    <w:uiPriority w:val="99"/>
    <w:semiHidden/>
    <w:unhideWhenUsed/>
    <w:rsid w:val="005D558D"/>
    <w:rPr>
      <w:b/>
      <w:bCs/>
    </w:rPr>
  </w:style>
  <w:style w:type="character" w:customStyle="1" w:styleId="CommentSubjectChar">
    <w:name w:val="Comment Subject Char"/>
    <w:basedOn w:val="CommentTextChar"/>
    <w:link w:val="CommentSubject"/>
    <w:uiPriority w:val="99"/>
    <w:semiHidden/>
    <w:rsid w:val="005D558D"/>
    <w:rPr>
      <w:b/>
      <w:bCs/>
      <w:sz w:val="20"/>
      <w:szCs w:val="20"/>
    </w:rPr>
  </w:style>
  <w:style w:type="character" w:styleId="Hyperlink">
    <w:name w:val="Hyperlink"/>
    <w:basedOn w:val="DefaultParagraphFont"/>
    <w:uiPriority w:val="99"/>
    <w:unhideWhenUsed/>
    <w:rsid w:val="002C03DB"/>
    <w:rPr>
      <w:color w:val="467886" w:themeColor="hyperlink"/>
      <w:u w:val="single"/>
    </w:rPr>
  </w:style>
  <w:style w:type="character" w:styleId="UnresolvedMention">
    <w:name w:val="Unresolved Mention"/>
    <w:basedOn w:val="DefaultParagraphFont"/>
    <w:uiPriority w:val="99"/>
    <w:semiHidden/>
    <w:unhideWhenUsed/>
    <w:rsid w:val="002C03DB"/>
    <w:rPr>
      <w:color w:val="605E5C"/>
      <w:shd w:val="clear" w:color="auto" w:fill="E1DFDD"/>
    </w:rPr>
  </w:style>
  <w:style w:type="paragraph" w:styleId="Header">
    <w:name w:val="header"/>
    <w:basedOn w:val="Normal"/>
    <w:link w:val="HeaderChar"/>
    <w:uiPriority w:val="99"/>
    <w:unhideWhenUsed/>
    <w:rsid w:val="00BE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9E"/>
  </w:style>
  <w:style w:type="paragraph" w:styleId="Footer">
    <w:name w:val="footer"/>
    <w:basedOn w:val="Normal"/>
    <w:link w:val="FooterChar"/>
    <w:uiPriority w:val="99"/>
    <w:unhideWhenUsed/>
    <w:rsid w:val="00BE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9E"/>
  </w:style>
  <w:style w:type="paragraph" w:styleId="Revision">
    <w:name w:val="Revision"/>
    <w:hidden/>
    <w:uiPriority w:val="99"/>
    <w:semiHidden/>
    <w:rsid w:val="00A72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8247">
      <w:bodyDiv w:val="1"/>
      <w:marLeft w:val="0"/>
      <w:marRight w:val="0"/>
      <w:marTop w:val="0"/>
      <w:marBottom w:val="0"/>
      <w:divBdr>
        <w:top w:val="none" w:sz="0" w:space="0" w:color="auto"/>
        <w:left w:val="none" w:sz="0" w:space="0" w:color="auto"/>
        <w:bottom w:val="none" w:sz="0" w:space="0" w:color="auto"/>
        <w:right w:val="none" w:sz="0" w:space="0" w:color="auto"/>
      </w:divBdr>
      <w:divsChild>
        <w:div w:id="2116052359">
          <w:marLeft w:val="0"/>
          <w:marRight w:val="0"/>
          <w:marTop w:val="0"/>
          <w:marBottom w:val="0"/>
          <w:divBdr>
            <w:top w:val="none" w:sz="0" w:space="0" w:color="auto"/>
            <w:left w:val="none" w:sz="0" w:space="0" w:color="auto"/>
            <w:bottom w:val="none" w:sz="0" w:space="0" w:color="auto"/>
            <w:right w:val="none" w:sz="0" w:space="0" w:color="auto"/>
          </w:divBdr>
        </w:div>
      </w:divsChild>
    </w:div>
    <w:div w:id="1339194856">
      <w:bodyDiv w:val="1"/>
      <w:marLeft w:val="0"/>
      <w:marRight w:val="0"/>
      <w:marTop w:val="0"/>
      <w:marBottom w:val="0"/>
      <w:divBdr>
        <w:top w:val="none" w:sz="0" w:space="0" w:color="auto"/>
        <w:left w:val="none" w:sz="0" w:space="0" w:color="auto"/>
        <w:bottom w:val="none" w:sz="0" w:space="0" w:color="auto"/>
        <w:right w:val="none" w:sz="0" w:space="0" w:color="auto"/>
      </w:divBdr>
    </w:div>
    <w:div w:id="1879587222">
      <w:bodyDiv w:val="1"/>
      <w:marLeft w:val="0"/>
      <w:marRight w:val="0"/>
      <w:marTop w:val="0"/>
      <w:marBottom w:val="0"/>
      <w:divBdr>
        <w:top w:val="none" w:sz="0" w:space="0" w:color="auto"/>
        <w:left w:val="none" w:sz="0" w:space="0" w:color="auto"/>
        <w:bottom w:val="none" w:sz="0" w:space="0" w:color="auto"/>
        <w:right w:val="none" w:sz="0" w:space="0" w:color="auto"/>
      </w:divBdr>
      <w:divsChild>
        <w:div w:id="81202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0D315116AF08498EB5DAEE8AD89C66" ma:contentTypeVersion="5" ma:contentTypeDescription="Create a new document." ma:contentTypeScope="" ma:versionID="b515a544ef48ab0651906b71a24dd33e">
  <xsd:schema xmlns:xsd="http://www.w3.org/2001/XMLSchema" xmlns:xs="http://www.w3.org/2001/XMLSchema" xmlns:p="http://schemas.microsoft.com/office/2006/metadata/properties" xmlns:ns3="8b23216a-5350-4507-ae5a-0c050c6c9bdd" targetNamespace="http://schemas.microsoft.com/office/2006/metadata/properties" ma:root="true" ma:fieldsID="9f8a3f2a3003fef02d7639384815523b" ns3:_="">
    <xsd:import namespace="8b23216a-5350-4507-ae5a-0c050c6c9b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216a-5350-4507-ae5a-0c050c6c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b23216a-5350-4507-ae5a-0c050c6c9bdd" xsi:nil="true"/>
  </documentManagement>
</p:properties>
</file>

<file path=customXml/itemProps1.xml><?xml version="1.0" encoding="utf-8"?>
<ds:datastoreItem xmlns:ds="http://schemas.openxmlformats.org/officeDocument/2006/customXml" ds:itemID="{ABAAD7B5-54C6-48A6-AEEE-CB805A84075F}">
  <ds:schemaRefs>
    <ds:schemaRef ds:uri="http://schemas.openxmlformats.org/officeDocument/2006/bibliography"/>
  </ds:schemaRefs>
</ds:datastoreItem>
</file>

<file path=customXml/itemProps2.xml><?xml version="1.0" encoding="utf-8"?>
<ds:datastoreItem xmlns:ds="http://schemas.openxmlformats.org/officeDocument/2006/customXml" ds:itemID="{86C11DA1-4A9B-49A2-A72A-8311537A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3216a-5350-4507-ae5a-0c050c6c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419FA-68F5-41CA-84A0-4F621CCB5B15}">
  <ds:schemaRefs>
    <ds:schemaRef ds:uri="http://schemas.microsoft.com/sharepoint/v3/contenttype/forms"/>
  </ds:schemaRefs>
</ds:datastoreItem>
</file>

<file path=customXml/itemProps4.xml><?xml version="1.0" encoding="utf-8"?>
<ds:datastoreItem xmlns:ds="http://schemas.openxmlformats.org/officeDocument/2006/customXml" ds:itemID="{CC4BC554-4AB8-4BC2-B285-26FCE3547673}">
  <ds:schemaRefs>
    <ds:schemaRef ds:uri="http://schemas.microsoft.com/office/2006/metadata/properties"/>
    <ds:schemaRef ds:uri="http://schemas.microsoft.com/office/infopath/2007/PartnerControls"/>
    <ds:schemaRef ds:uri="8b23216a-5350-4507-ae5a-0c050c6c9bd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977</Words>
  <Characters>5103</Characters>
  <Application>Microsoft Office Word</Application>
  <DocSecurity>0</DocSecurity>
  <Lines>221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Pavlini, Esq.</dc:creator>
  <cp:keywords/>
  <dc:description/>
  <cp:lastModifiedBy>Christopher Theobalt, Esq.</cp:lastModifiedBy>
  <cp:revision>58</cp:revision>
  <dcterms:created xsi:type="dcterms:W3CDTF">2025-05-19T22:55:00Z</dcterms:created>
  <dcterms:modified xsi:type="dcterms:W3CDTF">2025-05-19T23:16:00Z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0x010100460D315116AF08498EB5DAEE8AD89C66</vt:lpwstr>
  </property>
</Properties>
</file>