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10417" w14:textId="77777777" w:rsidR="007F0797" w:rsidRPr="00D03F07" w:rsidRDefault="007F0797" w:rsidP="007F0797">
      <w:pPr>
        <w:contextualSpacing/>
        <w:rPr>
          <w:rFonts w:ascii="Times New Roman" w:hAnsi="Times New Roman"/>
          <w:szCs w:val="24"/>
        </w:rPr>
      </w:pPr>
      <w:bookmarkStart w:id="0" w:name="_Hlk73707964"/>
      <w:r w:rsidRPr="00D03F07">
        <w:rPr>
          <w:rFonts w:ascii="Times New Roman" w:hAnsi="Times New Roman"/>
          <w:szCs w:val="24"/>
        </w:rPr>
        <w:t>SUPREME COURT OF THE STATE OF NEW YORK</w:t>
      </w:r>
    </w:p>
    <w:p w14:paraId="1496BAA7" w14:textId="76CA38B8" w:rsidR="007F0797" w:rsidRPr="00D03F07" w:rsidRDefault="007F0797" w:rsidP="007F0797">
      <w:pPr>
        <w:contextualSpacing/>
        <w:rPr>
          <w:rFonts w:ascii="Times New Roman" w:hAnsi="Times New Roman"/>
          <w:szCs w:val="24"/>
        </w:rPr>
      </w:pPr>
      <w:r w:rsidRPr="00D03F07">
        <w:rPr>
          <w:rFonts w:ascii="Times New Roman" w:hAnsi="Times New Roman"/>
          <w:szCs w:val="24"/>
        </w:rPr>
        <w:t xml:space="preserve">COUNTY OF </w:t>
      </w:r>
      <w:r w:rsidR="00E107ED">
        <w:rPr>
          <w:rFonts w:ascii="Times New Roman" w:hAnsi="Times New Roman"/>
          <w:szCs w:val="24"/>
        </w:rPr>
        <w:t>[INSERT]</w:t>
      </w:r>
    </w:p>
    <w:tbl>
      <w:tblPr>
        <w:tblW w:w="92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2"/>
        <w:gridCol w:w="180"/>
        <w:gridCol w:w="3493"/>
      </w:tblGrid>
      <w:tr w:rsidR="007F0797" w:rsidRPr="00D03F07" w14:paraId="519B8C64" w14:textId="77777777" w:rsidTr="0083480E">
        <w:tc>
          <w:tcPr>
            <w:tcW w:w="5580" w:type="dxa"/>
            <w:hideMark/>
          </w:tcPr>
          <w:p w14:paraId="75835967" w14:textId="77777777" w:rsidR="007F0797" w:rsidRPr="00D03F07" w:rsidRDefault="007F0797" w:rsidP="0083480E">
            <w:pPr>
              <w:contextualSpacing/>
              <w:rPr>
                <w:rFonts w:ascii="Times New Roman" w:hAnsi="Times New Roman"/>
                <w:szCs w:val="24"/>
              </w:rPr>
            </w:pPr>
            <w:r w:rsidRPr="00D03F07">
              <w:rPr>
                <w:rFonts w:ascii="Times New Roman" w:hAnsi="Times New Roman"/>
                <w:szCs w:val="24"/>
              </w:rPr>
              <w:t>----------------------------------------------------------------X</w:t>
            </w:r>
          </w:p>
        </w:tc>
        <w:tc>
          <w:tcPr>
            <w:tcW w:w="180" w:type="dxa"/>
          </w:tcPr>
          <w:p w14:paraId="4B09C239" w14:textId="77777777" w:rsidR="007F0797" w:rsidRPr="00D03F07" w:rsidRDefault="007F0797" w:rsidP="0083480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3492" w:type="dxa"/>
            <w:vMerge w:val="restart"/>
          </w:tcPr>
          <w:p w14:paraId="506CDDA5" w14:textId="77777777" w:rsidR="007F0797" w:rsidRPr="00D03F07" w:rsidRDefault="007F0797" w:rsidP="0083480E">
            <w:pPr>
              <w:contextualSpacing/>
              <w:rPr>
                <w:rFonts w:ascii="Times New Roman" w:hAnsi="Times New Roman"/>
                <w:bCs/>
                <w:szCs w:val="24"/>
              </w:rPr>
            </w:pPr>
          </w:p>
          <w:p w14:paraId="7B7FF414" w14:textId="77777777" w:rsidR="007F0797" w:rsidRPr="00D03F07" w:rsidRDefault="007F0797" w:rsidP="0083480E">
            <w:pPr>
              <w:contextualSpacing/>
              <w:rPr>
                <w:rFonts w:ascii="Times New Roman" w:hAnsi="Times New Roman"/>
                <w:bCs/>
                <w:szCs w:val="24"/>
              </w:rPr>
            </w:pPr>
          </w:p>
          <w:p w14:paraId="76C3AE1B" w14:textId="77777777" w:rsidR="007F0797" w:rsidRPr="00D03F07" w:rsidRDefault="007F0797" w:rsidP="0083480E">
            <w:pPr>
              <w:contextualSpacing/>
              <w:rPr>
                <w:rFonts w:ascii="Times New Roman" w:hAnsi="Times New Roman"/>
                <w:szCs w:val="24"/>
              </w:rPr>
            </w:pPr>
          </w:p>
          <w:p w14:paraId="4BFB31FA" w14:textId="77777777" w:rsidR="007F0797" w:rsidRPr="00D03F07" w:rsidRDefault="007F0797" w:rsidP="0083480E">
            <w:pPr>
              <w:contextualSpacing/>
              <w:rPr>
                <w:rFonts w:ascii="Times New Roman" w:hAnsi="Times New Roman"/>
                <w:szCs w:val="24"/>
              </w:rPr>
            </w:pPr>
          </w:p>
          <w:p w14:paraId="7EB91A82" w14:textId="77777777" w:rsidR="007F0797" w:rsidRPr="00D03F07" w:rsidRDefault="007F0797" w:rsidP="0083480E">
            <w:pPr>
              <w:contextualSpacing/>
              <w:rPr>
                <w:rFonts w:ascii="Times New Roman" w:hAnsi="Times New Roman"/>
                <w:szCs w:val="24"/>
              </w:rPr>
            </w:pPr>
          </w:p>
          <w:p w14:paraId="1E3AF380" w14:textId="77777777" w:rsidR="007F0797" w:rsidRPr="00D03F07" w:rsidRDefault="007F0797" w:rsidP="0083480E">
            <w:pPr>
              <w:contextualSpacing/>
              <w:rPr>
                <w:rFonts w:ascii="Times New Roman" w:hAnsi="Times New Roman"/>
                <w:szCs w:val="24"/>
              </w:rPr>
            </w:pPr>
          </w:p>
          <w:p w14:paraId="569C3C28" w14:textId="005E7236" w:rsidR="007F0797" w:rsidRPr="00D03F07" w:rsidRDefault="007F0797" w:rsidP="0083480E">
            <w:pPr>
              <w:contextualSpacing/>
              <w:rPr>
                <w:rFonts w:ascii="Times New Roman" w:hAnsi="Times New Roman"/>
                <w:szCs w:val="24"/>
              </w:rPr>
            </w:pPr>
            <w:r w:rsidRPr="00D03F07">
              <w:rPr>
                <w:rFonts w:ascii="Times New Roman" w:hAnsi="Times New Roman"/>
                <w:szCs w:val="24"/>
              </w:rPr>
              <w:t xml:space="preserve">Index No.: </w:t>
            </w:r>
            <w:r w:rsidR="00E107ED">
              <w:rPr>
                <w:rFonts w:ascii="Times New Roman" w:hAnsi="Times New Roman"/>
                <w:szCs w:val="24"/>
              </w:rPr>
              <w:t>[INSERT]</w:t>
            </w:r>
          </w:p>
          <w:p w14:paraId="42BCAF63" w14:textId="77777777" w:rsidR="007F0797" w:rsidRPr="00D03F07" w:rsidRDefault="007F0797" w:rsidP="0083480E">
            <w:pPr>
              <w:contextualSpacing/>
              <w:rPr>
                <w:rFonts w:ascii="Times New Roman" w:hAnsi="Times New Roman"/>
                <w:szCs w:val="24"/>
              </w:rPr>
            </w:pPr>
          </w:p>
          <w:p w14:paraId="5BA12F2C" w14:textId="77777777" w:rsidR="007F0797" w:rsidRPr="00D03F07" w:rsidRDefault="007F0797" w:rsidP="0083480E">
            <w:pPr>
              <w:contextualSpacing/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7F0797" w:rsidRPr="00D03F07" w14:paraId="5F1B7467" w14:textId="77777777" w:rsidTr="0083480E">
        <w:tc>
          <w:tcPr>
            <w:tcW w:w="5580" w:type="dxa"/>
          </w:tcPr>
          <w:p w14:paraId="5765B743" w14:textId="3D7C0EF1" w:rsidR="007F0797" w:rsidRPr="00D03F07" w:rsidRDefault="00E107ED" w:rsidP="0083480E">
            <w:pPr>
              <w:contextualSpacing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[INSERT]</w:t>
            </w:r>
            <w:r w:rsidR="007F0797">
              <w:rPr>
                <w:rFonts w:ascii="Times New Roman" w:hAnsi="Times New Roman"/>
                <w:bCs/>
                <w:szCs w:val="24"/>
              </w:rPr>
              <w:t>,</w:t>
            </w:r>
          </w:p>
          <w:p w14:paraId="7434647F" w14:textId="77777777" w:rsidR="007F0797" w:rsidRPr="00D03F07" w:rsidRDefault="007F0797" w:rsidP="0083480E">
            <w:pPr>
              <w:contextualSpacing/>
              <w:rPr>
                <w:rFonts w:ascii="Times New Roman" w:hAnsi="Times New Roman"/>
                <w:bCs/>
                <w:szCs w:val="24"/>
              </w:rPr>
            </w:pPr>
            <w:r w:rsidRPr="00D03F07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14:paraId="19005034" w14:textId="77777777" w:rsidR="007F0797" w:rsidRPr="00D03F07" w:rsidRDefault="007F0797" w:rsidP="0083480E">
            <w:pPr>
              <w:ind w:left="2880"/>
              <w:contextualSpacing/>
              <w:rPr>
                <w:rFonts w:ascii="Times New Roman" w:hAnsi="Times New Roman"/>
                <w:szCs w:val="24"/>
              </w:rPr>
            </w:pPr>
            <w:r w:rsidRPr="00D03F07">
              <w:rPr>
                <w:rFonts w:ascii="Times New Roman" w:hAnsi="Times New Roman"/>
                <w:szCs w:val="24"/>
              </w:rPr>
              <w:t>Plaintiff</w:t>
            </w:r>
            <w:r>
              <w:rPr>
                <w:rFonts w:ascii="Times New Roman" w:hAnsi="Times New Roman"/>
                <w:szCs w:val="24"/>
              </w:rPr>
              <w:t>s</w:t>
            </w:r>
            <w:r w:rsidRPr="00D03F07">
              <w:rPr>
                <w:rFonts w:ascii="Times New Roman" w:hAnsi="Times New Roman"/>
                <w:szCs w:val="24"/>
              </w:rPr>
              <w:t>,</w:t>
            </w:r>
          </w:p>
          <w:p w14:paraId="3C119C4E" w14:textId="77777777" w:rsidR="007F0797" w:rsidRPr="00D03F07" w:rsidRDefault="007F0797" w:rsidP="0083480E">
            <w:pPr>
              <w:contextualSpacing/>
              <w:rPr>
                <w:rFonts w:ascii="Times New Roman" w:hAnsi="Times New Roman"/>
                <w:bCs/>
                <w:szCs w:val="24"/>
              </w:rPr>
            </w:pPr>
          </w:p>
          <w:p w14:paraId="0AA625C5" w14:textId="77777777" w:rsidR="007F0797" w:rsidRPr="00D03F07" w:rsidRDefault="007F0797" w:rsidP="0083480E">
            <w:pPr>
              <w:ind w:left="720"/>
              <w:contextualSpacing/>
              <w:rPr>
                <w:rFonts w:ascii="Times New Roman" w:hAnsi="Times New Roman"/>
                <w:szCs w:val="24"/>
              </w:rPr>
            </w:pPr>
            <w:r w:rsidRPr="00D03F07">
              <w:rPr>
                <w:rFonts w:ascii="Times New Roman" w:hAnsi="Times New Roman"/>
                <w:szCs w:val="24"/>
              </w:rPr>
              <w:t>-against-</w:t>
            </w:r>
          </w:p>
          <w:p w14:paraId="2303AA58" w14:textId="77777777" w:rsidR="007F0797" w:rsidRPr="00D03F07" w:rsidRDefault="007F0797" w:rsidP="0083480E">
            <w:pPr>
              <w:contextualSpacing/>
              <w:rPr>
                <w:rFonts w:ascii="Times New Roman" w:hAnsi="Times New Roman"/>
                <w:bCs/>
                <w:szCs w:val="24"/>
              </w:rPr>
            </w:pPr>
          </w:p>
          <w:p w14:paraId="1A5A66A1" w14:textId="59CBADF0" w:rsidR="007F0797" w:rsidRPr="00D03F07" w:rsidRDefault="00E107ED" w:rsidP="0083480E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[INSERT]</w:t>
            </w:r>
            <w:r w:rsidR="007F0797" w:rsidRPr="004C36C6">
              <w:rPr>
                <w:rFonts w:ascii="Times New Roman" w:hAnsi="Times New Roman"/>
                <w:szCs w:val="24"/>
              </w:rPr>
              <w:t>,</w:t>
            </w:r>
          </w:p>
          <w:p w14:paraId="191FEC28" w14:textId="77777777" w:rsidR="007F0797" w:rsidRPr="00D03F07" w:rsidRDefault="007F0797" w:rsidP="0083480E">
            <w:pPr>
              <w:contextualSpacing/>
              <w:rPr>
                <w:rFonts w:ascii="Times New Roman" w:hAnsi="Times New Roman"/>
                <w:szCs w:val="24"/>
              </w:rPr>
            </w:pPr>
          </w:p>
          <w:p w14:paraId="78B380D0" w14:textId="77777777" w:rsidR="007F0797" w:rsidRPr="00D03F07" w:rsidRDefault="007F0797" w:rsidP="0083480E">
            <w:pPr>
              <w:ind w:left="2880"/>
              <w:contextualSpacing/>
              <w:rPr>
                <w:rFonts w:ascii="Times New Roman" w:hAnsi="Times New Roman"/>
                <w:szCs w:val="24"/>
              </w:rPr>
            </w:pPr>
            <w:r w:rsidRPr="00D03F07">
              <w:rPr>
                <w:rFonts w:ascii="Times New Roman" w:hAnsi="Times New Roman"/>
                <w:szCs w:val="24"/>
              </w:rPr>
              <w:t>Defendants.</w:t>
            </w:r>
          </w:p>
        </w:tc>
        <w:tc>
          <w:tcPr>
            <w:tcW w:w="180" w:type="dxa"/>
          </w:tcPr>
          <w:p w14:paraId="196193F1" w14:textId="77777777" w:rsidR="007F0797" w:rsidRPr="00D03F07" w:rsidRDefault="007F0797" w:rsidP="0083480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3492" w:type="dxa"/>
            <w:vMerge/>
            <w:vAlign w:val="center"/>
            <w:hideMark/>
          </w:tcPr>
          <w:p w14:paraId="4F753913" w14:textId="77777777" w:rsidR="007F0797" w:rsidRPr="00D03F07" w:rsidRDefault="007F0797" w:rsidP="0083480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7F0797" w:rsidRPr="00D03F07" w14:paraId="535FA02D" w14:textId="77777777" w:rsidTr="0083480E">
        <w:tc>
          <w:tcPr>
            <w:tcW w:w="5580" w:type="dxa"/>
            <w:hideMark/>
          </w:tcPr>
          <w:p w14:paraId="3B4D7FD7" w14:textId="77777777" w:rsidR="007F0797" w:rsidRPr="00D03F07" w:rsidRDefault="007F0797" w:rsidP="0083480E">
            <w:pPr>
              <w:contextualSpacing/>
              <w:rPr>
                <w:rFonts w:ascii="Times New Roman" w:hAnsi="Times New Roman"/>
                <w:szCs w:val="24"/>
              </w:rPr>
            </w:pPr>
            <w:r w:rsidRPr="00D03F07">
              <w:rPr>
                <w:rFonts w:ascii="Times New Roman" w:hAnsi="Times New Roman"/>
                <w:szCs w:val="24"/>
              </w:rPr>
              <w:t>----------------------------------------------------------------X</w:t>
            </w:r>
          </w:p>
        </w:tc>
        <w:tc>
          <w:tcPr>
            <w:tcW w:w="180" w:type="dxa"/>
          </w:tcPr>
          <w:p w14:paraId="272E2E94" w14:textId="77777777" w:rsidR="007F0797" w:rsidRPr="00D03F07" w:rsidRDefault="007F0797" w:rsidP="0083480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3492" w:type="dxa"/>
            <w:vMerge/>
            <w:vAlign w:val="center"/>
            <w:hideMark/>
          </w:tcPr>
          <w:p w14:paraId="31BDA494" w14:textId="77777777" w:rsidR="007F0797" w:rsidRPr="00D03F07" w:rsidRDefault="007F0797" w:rsidP="0083480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</w:tbl>
    <w:p w14:paraId="0E4402B8" w14:textId="77777777" w:rsidR="005C2308" w:rsidRPr="008E4796" w:rsidRDefault="005C2308" w:rsidP="005C2308">
      <w:pPr>
        <w:pStyle w:val="PartyName"/>
        <w:rPr>
          <w:rFonts w:ascii="Times New Roman" w:hAnsi="Times New Roman"/>
          <w:b/>
          <w:sz w:val="24"/>
          <w:szCs w:val="24"/>
        </w:rPr>
      </w:pPr>
    </w:p>
    <w:bookmarkEnd w:id="0"/>
    <w:p w14:paraId="699C96F8" w14:textId="6CD1C07F" w:rsidR="002F1E26" w:rsidRDefault="00954E84" w:rsidP="005C2308">
      <w:pPr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DEFENDANT</w:t>
      </w:r>
      <w:r w:rsidR="007F0797">
        <w:rPr>
          <w:rFonts w:ascii="Times New Roman" w:hAnsi="Times New Roman"/>
          <w:bCs/>
          <w:szCs w:val="24"/>
        </w:rPr>
        <w:t>S’</w:t>
      </w:r>
      <w:r w:rsidR="005C2308" w:rsidRPr="008E4796">
        <w:rPr>
          <w:rFonts w:ascii="Times New Roman" w:hAnsi="Times New Roman"/>
          <w:bCs/>
          <w:szCs w:val="24"/>
        </w:rPr>
        <w:t xml:space="preserve"> PRE-TRIAL MOTION </w:t>
      </w:r>
      <w:r w:rsidR="005C2308" w:rsidRPr="008E4796">
        <w:rPr>
          <w:rFonts w:ascii="Times New Roman" w:hAnsi="Times New Roman"/>
          <w:bCs/>
          <w:i/>
          <w:szCs w:val="24"/>
        </w:rPr>
        <w:t>IN LIMINE</w:t>
      </w:r>
      <w:r w:rsidR="005C2308" w:rsidRPr="008E4796">
        <w:rPr>
          <w:rFonts w:ascii="Times New Roman" w:hAnsi="Times New Roman"/>
          <w:bCs/>
          <w:szCs w:val="24"/>
        </w:rPr>
        <w:t xml:space="preserve"> FOR </w:t>
      </w:r>
    </w:p>
    <w:p w14:paraId="6228F2C1" w14:textId="523CF262" w:rsidR="005C2308" w:rsidRPr="008E4796" w:rsidRDefault="008847ED" w:rsidP="005C2308">
      <w:pPr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JUDICIAL SUPERVISION </w:t>
      </w:r>
      <w:r w:rsidR="002F1E26">
        <w:rPr>
          <w:rFonts w:ascii="Times New Roman" w:hAnsi="Times New Roman"/>
          <w:bCs/>
          <w:szCs w:val="24"/>
        </w:rPr>
        <w:t>AND</w:t>
      </w:r>
      <w:r w:rsidR="007F0797">
        <w:rPr>
          <w:rFonts w:ascii="Times New Roman" w:hAnsi="Times New Roman"/>
          <w:bCs/>
          <w:szCs w:val="24"/>
        </w:rPr>
        <w:t>/OR</w:t>
      </w:r>
      <w:r w:rsidR="002F1E26">
        <w:rPr>
          <w:rFonts w:ascii="Times New Roman" w:hAnsi="Times New Roman"/>
          <w:bCs/>
          <w:szCs w:val="24"/>
        </w:rPr>
        <w:t xml:space="preserve"> TRANSCRIPTION OF </w:t>
      </w:r>
      <w:r w:rsidR="005C2308" w:rsidRPr="008E4796">
        <w:rPr>
          <w:rFonts w:ascii="Times New Roman" w:hAnsi="Times New Roman"/>
          <w:bCs/>
          <w:i/>
          <w:iCs/>
          <w:szCs w:val="24"/>
        </w:rPr>
        <w:t>VOIR DIRE</w:t>
      </w:r>
      <w:r w:rsidR="002F1E26">
        <w:rPr>
          <w:rFonts w:ascii="Times New Roman" w:hAnsi="Times New Roman"/>
          <w:bCs/>
          <w:szCs w:val="24"/>
        </w:rPr>
        <w:t xml:space="preserve"> PROCEEDINGS</w:t>
      </w:r>
    </w:p>
    <w:p w14:paraId="57F5D2DE" w14:textId="77777777" w:rsidR="005C2308" w:rsidRPr="008E4796" w:rsidRDefault="005C2308" w:rsidP="005C2308">
      <w:pPr>
        <w:ind w:left="4320"/>
        <w:rPr>
          <w:rFonts w:ascii="Times New Roman" w:eastAsia="Calibri" w:hAnsi="Times New Roman"/>
          <w:bCs/>
          <w:szCs w:val="24"/>
        </w:rPr>
      </w:pPr>
    </w:p>
    <w:p w14:paraId="0F401525" w14:textId="77777777" w:rsidR="007F0797" w:rsidRDefault="007F0797" w:rsidP="007F0797">
      <w:pPr>
        <w:suppressAutoHyphens/>
        <w:jc w:val="both"/>
        <w:rPr>
          <w:rFonts w:ascii="Times New Roman" w:hAnsi="Times New Roman"/>
          <w:szCs w:val="24"/>
        </w:rPr>
      </w:pPr>
    </w:p>
    <w:p w14:paraId="2877D85A" w14:textId="77777777" w:rsidR="007F0797" w:rsidRPr="00D03F07" w:rsidRDefault="007F0797" w:rsidP="007F0797">
      <w:pPr>
        <w:ind w:left="4320"/>
        <w:contextualSpacing/>
        <w:rPr>
          <w:rFonts w:ascii="Times New Roman" w:eastAsia="Calibri" w:hAnsi="Times New Roman"/>
          <w:szCs w:val="24"/>
        </w:rPr>
      </w:pPr>
      <w:r w:rsidRPr="00D03F07">
        <w:rPr>
          <w:rFonts w:ascii="Times New Roman" w:eastAsia="Calibri" w:hAnsi="Times New Roman"/>
          <w:szCs w:val="24"/>
        </w:rPr>
        <w:t>Respectfully submitted,</w:t>
      </w:r>
    </w:p>
    <w:p w14:paraId="18B3B91C" w14:textId="77777777" w:rsidR="007F0797" w:rsidRPr="00D03F07" w:rsidRDefault="007F0797" w:rsidP="007F0797">
      <w:pPr>
        <w:ind w:left="4320"/>
        <w:contextualSpacing/>
        <w:rPr>
          <w:rFonts w:ascii="Times New Roman" w:eastAsia="Calibri" w:hAnsi="Times New Roman"/>
          <w:szCs w:val="24"/>
        </w:rPr>
      </w:pPr>
    </w:p>
    <w:p w14:paraId="6D2331C3" w14:textId="5B7C020D" w:rsidR="007F0797" w:rsidRDefault="007F0797" w:rsidP="00E107ED">
      <w:pPr>
        <w:contextualSpacing/>
        <w:rPr>
          <w:rFonts w:ascii="Times New Roman" w:hAnsi="Times New Roman"/>
        </w:rPr>
      </w:pPr>
      <w:r w:rsidRPr="003628DA">
        <w:rPr>
          <w:rFonts w:ascii="Times New Roman" w:eastAsia="Calibri" w:hAnsi="Times New Roman"/>
          <w:b/>
          <w:bCs/>
          <w:iCs/>
          <w:szCs w:val="24"/>
        </w:rPr>
        <w:t>DATED</w:t>
      </w:r>
      <w:r w:rsidRPr="003628DA">
        <w:rPr>
          <w:rFonts w:ascii="Times New Roman" w:eastAsia="Calibri" w:hAnsi="Times New Roman"/>
          <w:iCs/>
          <w:szCs w:val="24"/>
        </w:rPr>
        <w:t>:</w:t>
      </w:r>
      <w:r w:rsidR="00E107ED">
        <w:rPr>
          <w:rFonts w:ascii="Times New Roman" w:eastAsia="Calibri" w:hAnsi="Times New Roman"/>
          <w:iCs/>
          <w:szCs w:val="24"/>
        </w:rPr>
        <w:tab/>
      </w:r>
      <w:r w:rsidR="00E107ED">
        <w:rPr>
          <w:rFonts w:ascii="Times New Roman" w:eastAsia="Calibri" w:hAnsi="Times New Roman"/>
          <w:iCs/>
          <w:szCs w:val="24"/>
        </w:rPr>
        <w:tab/>
      </w:r>
      <w:r w:rsidRPr="003628DA">
        <w:rPr>
          <w:rFonts w:ascii="Times New Roman" w:eastAsia="Calibri" w:hAnsi="Times New Roman"/>
          <w:iCs/>
          <w:szCs w:val="24"/>
        </w:rPr>
        <w:tab/>
      </w:r>
      <w:r w:rsidRPr="003628DA">
        <w:rPr>
          <w:rFonts w:ascii="Times New Roman" w:eastAsia="Calibri" w:hAnsi="Times New Roman"/>
          <w:iCs/>
          <w:szCs w:val="24"/>
        </w:rPr>
        <w:tab/>
      </w:r>
      <w:r w:rsidRPr="003628DA">
        <w:rPr>
          <w:rFonts w:ascii="Times New Roman" w:eastAsia="Calibri" w:hAnsi="Times New Roman"/>
          <w:iCs/>
          <w:szCs w:val="24"/>
        </w:rPr>
        <w:tab/>
      </w:r>
      <w:r>
        <w:rPr>
          <w:rFonts w:ascii="Times New Roman" w:hAnsi="Times New Roman"/>
        </w:rPr>
        <w:t xml:space="preserve"> </w:t>
      </w:r>
    </w:p>
    <w:p w14:paraId="7A3901FE" w14:textId="77777777" w:rsidR="007F0797" w:rsidRDefault="007F0797" w:rsidP="007F0797">
      <w:p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0E2F496" w14:textId="77777777" w:rsidR="005C2308" w:rsidRDefault="005C2308" w:rsidP="005C2308">
      <w:pPr>
        <w:spacing w:line="259" w:lineRule="auto"/>
        <w:rPr>
          <w:rFonts w:ascii="Times New Roman" w:eastAsia="Calibri" w:hAnsi="Times New Roman"/>
          <w:szCs w:val="24"/>
          <w:u w:val="single"/>
        </w:rPr>
        <w:sectPr w:rsidR="005C2308" w:rsidSect="007D7437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CDD44B" w14:textId="77777777" w:rsidR="005C2308" w:rsidRPr="008E4796" w:rsidRDefault="005C2308" w:rsidP="005C2308">
      <w:pPr>
        <w:jc w:val="center"/>
        <w:rPr>
          <w:rFonts w:ascii="Times New Roman" w:eastAsia="Calibri" w:hAnsi="Times New Roman"/>
          <w:szCs w:val="24"/>
          <w:u w:val="single"/>
        </w:rPr>
      </w:pPr>
      <w:r w:rsidRPr="008E4796">
        <w:rPr>
          <w:rFonts w:ascii="Times New Roman" w:eastAsia="Calibri" w:hAnsi="Times New Roman"/>
          <w:szCs w:val="24"/>
          <w:u w:val="single"/>
        </w:rPr>
        <w:t>PRELIMINARY STATEMENT</w:t>
      </w:r>
    </w:p>
    <w:p w14:paraId="1C5604C2" w14:textId="77777777" w:rsidR="005C2308" w:rsidRPr="008E4796" w:rsidRDefault="005C2308" w:rsidP="005C2308">
      <w:pPr>
        <w:jc w:val="both"/>
        <w:rPr>
          <w:rFonts w:ascii="Times New Roman" w:eastAsia="Calibri" w:hAnsi="Times New Roman"/>
          <w:szCs w:val="24"/>
        </w:rPr>
      </w:pPr>
    </w:p>
    <w:p w14:paraId="01EB4953" w14:textId="1EFD5388" w:rsidR="005B4A17" w:rsidRDefault="005C2308" w:rsidP="005B4A17">
      <w:pPr>
        <w:spacing w:line="480" w:lineRule="auto"/>
        <w:ind w:firstLine="720"/>
        <w:jc w:val="both"/>
        <w:rPr>
          <w:rFonts w:ascii="Times New Roman" w:eastAsia="Calibri" w:hAnsi="Times New Roman"/>
          <w:szCs w:val="24"/>
        </w:rPr>
      </w:pPr>
      <w:r w:rsidRPr="008E4796">
        <w:rPr>
          <w:rFonts w:ascii="Times New Roman" w:eastAsia="Calibri" w:hAnsi="Times New Roman"/>
          <w:szCs w:val="24"/>
        </w:rPr>
        <w:t>Defendant</w:t>
      </w:r>
      <w:r w:rsidR="007F0797">
        <w:rPr>
          <w:rFonts w:ascii="Times New Roman" w:eastAsia="Calibri" w:hAnsi="Times New Roman"/>
          <w:szCs w:val="24"/>
        </w:rPr>
        <w:t>s</w:t>
      </w:r>
      <w:r w:rsidRPr="008E4796">
        <w:rPr>
          <w:rFonts w:ascii="Times New Roman" w:eastAsia="Calibri" w:hAnsi="Times New Roman"/>
          <w:szCs w:val="24"/>
        </w:rPr>
        <w:t xml:space="preserve"> submit</w:t>
      </w:r>
      <w:r>
        <w:rPr>
          <w:rFonts w:ascii="Times New Roman" w:eastAsia="Calibri" w:hAnsi="Times New Roman"/>
          <w:szCs w:val="24"/>
        </w:rPr>
        <w:t>s</w:t>
      </w:r>
      <w:r w:rsidRPr="008E4796">
        <w:rPr>
          <w:rFonts w:ascii="Times New Roman" w:eastAsia="Calibri" w:hAnsi="Times New Roman"/>
          <w:szCs w:val="24"/>
        </w:rPr>
        <w:t xml:space="preserve"> this</w:t>
      </w:r>
      <w:r>
        <w:rPr>
          <w:rFonts w:ascii="Times New Roman" w:eastAsia="Calibri" w:hAnsi="Times New Roman"/>
          <w:szCs w:val="24"/>
        </w:rPr>
        <w:t xml:space="preserve"> memorandum in support of </w:t>
      </w:r>
      <w:r w:rsidR="007F0797">
        <w:rPr>
          <w:rFonts w:ascii="Times New Roman" w:eastAsia="Calibri" w:hAnsi="Times New Roman"/>
          <w:szCs w:val="24"/>
        </w:rPr>
        <w:t>their</w:t>
      </w:r>
      <w:r w:rsidRPr="008E4796">
        <w:rPr>
          <w:rFonts w:ascii="Times New Roman" w:eastAsia="Calibri" w:hAnsi="Times New Roman"/>
          <w:szCs w:val="24"/>
        </w:rPr>
        <w:t xml:space="preserve"> motion </w:t>
      </w:r>
      <w:r w:rsidRPr="008E4796">
        <w:rPr>
          <w:rFonts w:ascii="Times New Roman" w:eastAsia="Calibri" w:hAnsi="Times New Roman"/>
          <w:i/>
          <w:iCs/>
          <w:szCs w:val="24"/>
        </w:rPr>
        <w:t xml:space="preserve">in </w:t>
      </w:r>
      <w:proofErr w:type="spellStart"/>
      <w:r w:rsidRPr="008E4796">
        <w:rPr>
          <w:rFonts w:ascii="Times New Roman" w:eastAsia="Calibri" w:hAnsi="Times New Roman"/>
          <w:i/>
          <w:iCs/>
          <w:szCs w:val="24"/>
        </w:rPr>
        <w:t>limine</w:t>
      </w:r>
      <w:proofErr w:type="spellEnd"/>
      <w:r w:rsidRPr="008E4796">
        <w:rPr>
          <w:rFonts w:ascii="Times New Roman" w:eastAsia="Calibri" w:hAnsi="Times New Roman"/>
          <w:szCs w:val="24"/>
        </w:rPr>
        <w:t xml:space="preserve"> </w:t>
      </w:r>
      <w:bookmarkStart w:id="1" w:name="_Hlk74664881"/>
      <w:r>
        <w:rPr>
          <w:rFonts w:ascii="Times New Roman" w:eastAsia="Calibri" w:hAnsi="Times New Roman"/>
          <w:szCs w:val="24"/>
        </w:rPr>
        <w:t xml:space="preserve">seeking (1) judicial supervision of </w:t>
      </w:r>
      <w:proofErr w:type="spellStart"/>
      <w:r>
        <w:rPr>
          <w:rFonts w:ascii="Times New Roman" w:eastAsia="Calibri" w:hAnsi="Times New Roman"/>
          <w:szCs w:val="24"/>
        </w:rPr>
        <w:t>voir</w:t>
      </w:r>
      <w:proofErr w:type="spellEnd"/>
      <w:r>
        <w:rPr>
          <w:rFonts w:ascii="Times New Roman" w:eastAsia="Calibri" w:hAnsi="Times New Roman"/>
          <w:szCs w:val="24"/>
        </w:rPr>
        <w:t xml:space="preserve"> dire</w:t>
      </w:r>
      <w:r w:rsidR="007F0797">
        <w:rPr>
          <w:rFonts w:ascii="Times New Roman" w:eastAsia="Calibri" w:hAnsi="Times New Roman"/>
          <w:szCs w:val="24"/>
        </w:rPr>
        <w:t>,</w:t>
      </w:r>
      <w:r>
        <w:rPr>
          <w:rFonts w:ascii="Times New Roman" w:eastAsia="Calibri" w:hAnsi="Times New Roman"/>
          <w:szCs w:val="24"/>
        </w:rPr>
        <w:t xml:space="preserve"> and</w:t>
      </w:r>
      <w:r w:rsidR="007F0797">
        <w:rPr>
          <w:rFonts w:ascii="Times New Roman" w:eastAsia="Calibri" w:hAnsi="Times New Roman"/>
          <w:szCs w:val="24"/>
        </w:rPr>
        <w:t>/or</w:t>
      </w:r>
      <w:r>
        <w:rPr>
          <w:rFonts w:ascii="Times New Roman" w:eastAsia="Calibri" w:hAnsi="Times New Roman"/>
          <w:szCs w:val="24"/>
        </w:rPr>
        <w:t xml:space="preserve"> (2) transcription of </w:t>
      </w:r>
      <w:proofErr w:type="spellStart"/>
      <w:r>
        <w:rPr>
          <w:rFonts w:ascii="Times New Roman" w:eastAsia="Calibri" w:hAnsi="Times New Roman"/>
          <w:szCs w:val="24"/>
        </w:rPr>
        <w:t>voir</w:t>
      </w:r>
      <w:proofErr w:type="spellEnd"/>
      <w:r>
        <w:rPr>
          <w:rFonts w:ascii="Times New Roman" w:eastAsia="Calibri" w:hAnsi="Times New Roman"/>
          <w:szCs w:val="24"/>
        </w:rPr>
        <w:t xml:space="preserve"> dire proceedings. </w:t>
      </w:r>
      <w:r w:rsidR="00275D63" w:rsidRPr="00E107ED">
        <w:rPr>
          <w:rFonts w:ascii="Times New Roman" w:eastAsia="Calibri" w:hAnsi="Times New Roman"/>
          <w:szCs w:val="24"/>
          <w:u w:val="single"/>
        </w:rPr>
        <w:t>See</w:t>
      </w:r>
      <w:r w:rsidR="00275D63">
        <w:rPr>
          <w:rFonts w:ascii="Times New Roman" w:eastAsia="Calibri" w:hAnsi="Times New Roman"/>
          <w:szCs w:val="24"/>
        </w:rPr>
        <w:t xml:space="preserve"> CPLR 4107.  </w:t>
      </w:r>
      <w:r w:rsidR="001A3A8C">
        <w:rPr>
          <w:rFonts w:ascii="Times New Roman" w:eastAsia="Calibri" w:hAnsi="Times New Roman"/>
          <w:szCs w:val="24"/>
        </w:rPr>
        <w:t xml:space="preserve">The basis for this </w:t>
      </w:r>
      <w:r w:rsidR="00497AE3">
        <w:rPr>
          <w:rFonts w:ascii="Times New Roman" w:eastAsia="Calibri" w:hAnsi="Times New Roman"/>
          <w:szCs w:val="24"/>
        </w:rPr>
        <w:t>relief is straightforward: the litany of improper themes and tactics detailed at length</w:t>
      </w:r>
      <w:r w:rsidR="0072355C">
        <w:rPr>
          <w:rFonts w:ascii="Times New Roman" w:eastAsia="Calibri" w:hAnsi="Times New Roman"/>
          <w:szCs w:val="24"/>
        </w:rPr>
        <w:t xml:space="preserve"> in </w:t>
      </w:r>
      <w:r w:rsidR="00954E84">
        <w:rPr>
          <w:rFonts w:ascii="Times New Roman" w:eastAsia="Calibri" w:hAnsi="Times New Roman"/>
          <w:szCs w:val="24"/>
        </w:rPr>
        <w:t>defendant’s</w:t>
      </w:r>
      <w:r w:rsidR="0072355C">
        <w:rPr>
          <w:rFonts w:ascii="Times New Roman" w:eastAsia="Calibri" w:hAnsi="Times New Roman"/>
          <w:szCs w:val="24"/>
        </w:rPr>
        <w:t xml:space="preserve"> </w:t>
      </w:r>
      <w:r w:rsidR="007F0797">
        <w:rPr>
          <w:rFonts w:ascii="Times New Roman" w:eastAsia="Calibri" w:hAnsi="Times New Roman"/>
          <w:szCs w:val="24"/>
        </w:rPr>
        <w:t xml:space="preserve">fair trial </w:t>
      </w:r>
      <w:r w:rsidR="0072355C">
        <w:rPr>
          <w:rFonts w:ascii="Times New Roman" w:eastAsia="Calibri" w:hAnsi="Times New Roman"/>
          <w:szCs w:val="24"/>
        </w:rPr>
        <w:t xml:space="preserve">motion </w:t>
      </w:r>
      <w:r w:rsidR="0072355C" w:rsidRPr="00651A57">
        <w:rPr>
          <w:rFonts w:ascii="Times New Roman" w:eastAsia="Calibri" w:hAnsi="Times New Roman"/>
          <w:i/>
          <w:iCs/>
          <w:szCs w:val="24"/>
        </w:rPr>
        <w:t xml:space="preserve">in </w:t>
      </w:r>
      <w:proofErr w:type="spellStart"/>
      <w:r w:rsidR="0072355C" w:rsidRPr="00651A57">
        <w:rPr>
          <w:rFonts w:ascii="Times New Roman" w:eastAsia="Calibri" w:hAnsi="Times New Roman"/>
          <w:i/>
          <w:iCs/>
          <w:szCs w:val="24"/>
        </w:rPr>
        <w:t>limine</w:t>
      </w:r>
      <w:proofErr w:type="spellEnd"/>
      <w:r w:rsidR="00C80900">
        <w:rPr>
          <w:rFonts w:ascii="Times New Roman" w:eastAsia="Calibri" w:hAnsi="Times New Roman"/>
          <w:szCs w:val="24"/>
        </w:rPr>
        <w:t xml:space="preserve"> </w:t>
      </w:r>
      <w:r w:rsidR="00D0358E">
        <w:rPr>
          <w:rFonts w:ascii="Times New Roman" w:eastAsia="Calibri" w:hAnsi="Times New Roman"/>
          <w:szCs w:val="24"/>
        </w:rPr>
        <w:t xml:space="preserve">do not spring forth suddenly during opening remarks but are </w:t>
      </w:r>
      <w:r w:rsidR="00275D63">
        <w:rPr>
          <w:rFonts w:ascii="Times New Roman" w:eastAsia="Calibri" w:hAnsi="Times New Roman"/>
          <w:szCs w:val="24"/>
        </w:rPr>
        <w:t>all-too-</w:t>
      </w:r>
      <w:r w:rsidR="00D0358E">
        <w:rPr>
          <w:rFonts w:ascii="Times New Roman" w:eastAsia="Calibri" w:hAnsi="Times New Roman"/>
          <w:szCs w:val="24"/>
        </w:rPr>
        <w:t xml:space="preserve">frequently </w:t>
      </w:r>
      <w:r w:rsidR="009B76B8">
        <w:rPr>
          <w:rFonts w:ascii="Times New Roman" w:eastAsia="Calibri" w:hAnsi="Times New Roman"/>
          <w:szCs w:val="24"/>
        </w:rPr>
        <w:t>introduced to</w:t>
      </w:r>
      <w:r w:rsidR="001D32D7">
        <w:rPr>
          <w:rFonts w:ascii="Times New Roman" w:eastAsia="Calibri" w:hAnsi="Times New Roman"/>
          <w:szCs w:val="24"/>
        </w:rPr>
        <w:t xml:space="preserve"> the jurors during the</w:t>
      </w:r>
      <w:r w:rsidR="00FF4D11">
        <w:rPr>
          <w:rFonts w:ascii="Times New Roman" w:eastAsia="Calibri" w:hAnsi="Times New Roman"/>
          <w:szCs w:val="24"/>
        </w:rPr>
        <w:t xml:space="preserve"> jury</w:t>
      </w:r>
      <w:r w:rsidR="001D32D7">
        <w:rPr>
          <w:rFonts w:ascii="Times New Roman" w:eastAsia="Calibri" w:hAnsi="Times New Roman"/>
          <w:szCs w:val="24"/>
        </w:rPr>
        <w:t xml:space="preserve"> selection process.</w:t>
      </w:r>
      <w:r w:rsidR="00275D63">
        <w:rPr>
          <w:rFonts w:ascii="Times New Roman" w:eastAsia="Calibri" w:hAnsi="Times New Roman"/>
          <w:szCs w:val="24"/>
        </w:rPr>
        <w:t xml:space="preserve"> </w:t>
      </w:r>
      <w:r w:rsidR="00D8196F">
        <w:rPr>
          <w:rFonts w:ascii="Times New Roman" w:eastAsia="Calibri" w:hAnsi="Times New Roman"/>
          <w:szCs w:val="24"/>
        </w:rPr>
        <w:t>As selection typically proceeds unsupervised</w:t>
      </w:r>
      <w:r w:rsidR="00E107ED">
        <w:rPr>
          <w:rFonts w:ascii="Times New Roman" w:eastAsia="Calibri" w:hAnsi="Times New Roman"/>
          <w:szCs w:val="24"/>
        </w:rPr>
        <w:t xml:space="preserve"> in New York State courts</w:t>
      </w:r>
      <w:r w:rsidR="00D8196F">
        <w:rPr>
          <w:rFonts w:ascii="Times New Roman" w:eastAsia="Calibri" w:hAnsi="Times New Roman"/>
          <w:szCs w:val="24"/>
        </w:rPr>
        <w:t xml:space="preserve">, </w:t>
      </w:r>
      <w:r w:rsidR="00946EAC">
        <w:rPr>
          <w:rFonts w:ascii="Times New Roman" w:eastAsia="Calibri" w:hAnsi="Times New Roman"/>
          <w:szCs w:val="24"/>
        </w:rPr>
        <w:t xml:space="preserve">plaintiff counsel bent on </w:t>
      </w:r>
      <w:r w:rsidR="0083272E">
        <w:rPr>
          <w:rFonts w:ascii="Times New Roman" w:eastAsia="Calibri" w:hAnsi="Times New Roman"/>
          <w:szCs w:val="24"/>
        </w:rPr>
        <w:t xml:space="preserve">cultivating such themes can do so </w:t>
      </w:r>
      <w:r w:rsidR="008816FF">
        <w:rPr>
          <w:rFonts w:ascii="Times New Roman" w:eastAsia="Calibri" w:hAnsi="Times New Roman"/>
          <w:szCs w:val="24"/>
        </w:rPr>
        <w:t>without the hindrance of judicial oversight</w:t>
      </w:r>
      <w:r w:rsidR="008D3AF8">
        <w:rPr>
          <w:rFonts w:ascii="Times New Roman" w:eastAsia="Calibri" w:hAnsi="Times New Roman"/>
          <w:szCs w:val="24"/>
        </w:rPr>
        <w:t xml:space="preserve"> and the evidentiary strictures of trial.</w:t>
      </w:r>
      <w:r w:rsidR="00F965D0">
        <w:rPr>
          <w:rFonts w:ascii="Times New Roman" w:eastAsia="Calibri" w:hAnsi="Times New Roman"/>
          <w:szCs w:val="24"/>
        </w:rPr>
        <w:t xml:space="preserve"> </w:t>
      </w:r>
      <w:r w:rsidR="00275D63">
        <w:rPr>
          <w:rFonts w:ascii="Times New Roman" w:eastAsia="Calibri" w:hAnsi="Times New Roman"/>
          <w:szCs w:val="24"/>
        </w:rPr>
        <w:t xml:space="preserve"> </w:t>
      </w:r>
      <w:r w:rsidR="00987C32">
        <w:rPr>
          <w:rFonts w:ascii="Times New Roman" w:eastAsia="Calibri" w:hAnsi="Times New Roman"/>
          <w:szCs w:val="24"/>
        </w:rPr>
        <w:t xml:space="preserve">Such an environment is ripe for </w:t>
      </w:r>
      <w:r w:rsidR="00E17237">
        <w:rPr>
          <w:rFonts w:ascii="Times New Roman" w:eastAsia="Calibri" w:hAnsi="Times New Roman"/>
          <w:szCs w:val="24"/>
        </w:rPr>
        <w:t xml:space="preserve">the implantation of </w:t>
      </w:r>
      <w:r w:rsidR="007F0797">
        <w:rPr>
          <w:rFonts w:ascii="Times New Roman" w:eastAsia="Calibri" w:hAnsi="Times New Roman"/>
          <w:szCs w:val="24"/>
        </w:rPr>
        <w:t>these themes</w:t>
      </w:r>
      <w:r w:rsidR="00214391">
        <w:rPr>
          <w:rFonts w:ascii="Times New Roman" w:eastAsia="Calibri" w:hAnsi="Times New Roman"/>
          <w:szCs w:val="24"/>
        </w:rPr>
        <w:t xml:space="preserve"> in the fertile minds of the lay jurors</w:t>
      </w:r>
      <w:r w:rsidR="00937ACA">
        <w:rPr>
          <w:rFonts w:ascii="Times New Roman" w:eastAsia="Calibri" w:hAnsi="Times New Roman"/>
          <w:szCs w:val="24"/>
        </w:rPr>
        <w:t xml:space="preserve">. Indeed, </w:t>
      </w:r>
      <w:r w:rsidR="00214391">
        <w:rPr>
          <w:rFonts w:ascii="Times New Roman" w:eastAsia="Calibri" w:hAnsi="Times New Roman"/>
          <w:szCs w:val="24"/>
        </w:rPr>
        <w:t xml:space="preserve">the </w:t>
      </w:r>
      <w:r w:rsidR="003E28E8">
        <w:rPr>
          <w:rFonts w:ascii="Times New Roman" w:eastAsia="Calibri" w:hAnsi="Times New Roman"/>
          <w:szCs w:val="24"/>
        </w:rPr>
        <w:t xml:space="preserve">notorious </w:t>
      </w:r>
      <w:r w:rsidR="007F0797">
        <w:rPr>
          <w:rFonts w:ascii="Times New Roman" w:eastAsia="Calibri" w:hAnsi="Times New Roman"/>
          <w:szCs w:val="24"/>
        </w:rPr>
        <w:t>“</w:t>
      </w:r>
      <w:r w:rsidR="00214391">
        <w:rPr>
          <w:rFonts w:ascii="Times New Roman" w:eastAsia="Calibri" w:hAnsi="Times New Roman"/>
          <w:szCs w:val="24"/>
        </w:rPr>
        <w:t>Reptile</w:t>
      </w:r>
      <w:r w:rsidR="007F0797">
        <w:rPr>
          <w:rFonts w:ascii="Times New Roman" w:eastAsia="Calibri" w:hAnsi="Times New Roman"/>
          <w:szCs w:val="24"/>
        </w:rPr>
        <w:t>”</w:t>
      </w:r>
      <w:r w:rsidR="00214391">
        <w:rPr>
          <w:rFonts w:ascii="Times New Roman" w:eastAsia="Calibri" w:hAnsi="Times New Roman"/>
          <w:szCs w:val="24"/>
        </w:rPr>
        <w:t xml:space="preserve"> </w:t>
      </w:r>
      <w:r w:rsidR="00C65790">
        <w:rPr>
          <w:rFonts w:ascii="Times New Roman" w:eastAsia="Calibri" w:hAnsi="Times New Roman"/>
          <w:szCs w:val="24"/>
        </w:rPr>
        <w:t>handbook</w:t>
      </w:r>
      <w:r w:rsidR="00E107ED">
        <w:rPr>
          <w:rStyle w:val="FootnoteReference"/>
          <w:rFonts w:ascii="Times New Roman" w:eastAsia="Calibri" w:hAnsi="Times New Roman"/>
          <w:szCs w:val="24"/>
        </w:rPr>
        <w:footnoteReference w:id="1"/>
      </w:r>
      <w:r w:rsidR="00214391">
        <w:rPr>
          <w:rFonts w:ascii="Times New Roman" w:eastAsia="Calibri" w:hAnsi="Times New Roman"/>
          <w:szCs w:val="24"/>
        </w:rPr>
        <w:t xml:space="preserve"> openly advises</w:t>
      </w:r>
      <w:r w:rsidR="00937ACA">
        <w:rPr>
          <w:rFonts w:ascii="Times New Roman" w:eastAsia="Calibri" w:hAnsi="Times New Roman"/>
          <w:szCs w:val="24"/>
        </w:rPr>
        <w:t xml:space="preserve"> this exact course</w:t>
      </w:r>
      <w:r w:rsidR="00214391">
        <w:rPr>
          <w:rFonts w:ascii="Times New Roman" w:eastAsia="Calibri" w:hAnsi="Times New Roman"/>
          <w:szCs w:val="24"/>
        </w:rPr>
        <w:t xml:space="preserve"> (</w:t>
      </w:r>
      <w:r w:rsidR="00275D63">
        <w:rPr>
          <w:rFonts w:ascii="Times New Roman" w:eastAsia="Calibri" w:hAnsi="Times New Roman"/>
          <w:szCs w:val="24"/>
        </w:rPr>
        <w:t xml:space="preserve">at </w:t>
      </w:r>
      <w:r w:rsidR="00214391">
        <w:rPr>
          <w:rFonts w:ascii="Times New Roman" w:eastAsia="Calibri" w:hAnsi="Times New Roman"/>
          <w:szCs w:val="24"/>
        </w:rPr>
        <w:t>p.</w:t>
      </w:r>
      <w:r w:rsidR="000129B9">
        <w:rPr>
          <w:rFonts w:ascii="Times New Roman" w:eastAsia="Calibri" w:hAnsi="Times New Roman"/>
          <w:szCs w:val="24"/>
        </w:rPr>
        <w:t xml:space="preserve"> 49).</w:t>
      </w:r>
      <w:r w:rsidR="003E28E8">
        <w:rPr>
          <w:rFonts w:ascii="Times New Roman" w:eastAsia="Calibri" w:hAnsi="Times New Roman"/>
          <w:szCs w:val="24"/>
        </w:rPr>
        <w:t xml:space="preserve"> </w:t>
      </w:r>
    </w:p>
    <w:p w14:paraId="012AAABA" w14:textId="3A68A7A8" w:rsidR="005C2308" w:rsidRDefault="000129B9" w:rsidP="005C2308">
      <w:pPr>
        <w:spacing w:line="480" w:lineRule="auto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ab/>
        <w:t xml:space="preserve">For these and other reasons, </w:t>
      </w:r>
      <w:r w:rsidR="00954E84">
        <w:rPr>
          <w:rFonts w:ascii="Times New Roman" w:eastAsia="Calibri" w:hAnsi="Times New Roman"/>
          <w:szCs w:val="24"/>
        </w:rPr>
        <w:t>defendant</w:t>
      </w:r>
      <w:r w:rsidR="007F0797">
        <w:rPr>
          <w:rFonts w:ascii="Times New Roman" w:eastAsia="Calibri" w:hAnsi="Times New Roman"/>
          <w:szCs w:val="24"/>
        </w:rPr>
        <w:t>s</w:t>
      </w:r>
      <w:r>
        <w:rPr>
          <w:rFonts w:ascii="Times New Roman" w:eastAsia="Calibri" w:hAnsi="Times New Roman"/>
          <w:szCs w:val="24"/>
        </w:rPr>
        <w:t xml:space="preserve"> request that the Court supervise the jury selection process</w:t>
      </w:r>
      <w:r w:rsidR="0006011B">
        <w:rPr>
          <w:rFonts w:ascii="Times New Roman" w:eastAsia="Calibri" w:hAnsi="Times New Roman"/>
          <w:szCs w:val="24"/>
        </w:rPr>
        <w:t xml:space="preserve"> pursuant to CPLR 4</w:t>
      </w:r>
      <w:r w:rsidR="00105B34">
        <w:rPr>
          <w:rFonts w:ascii="Times New Roman" w:eastAsia="Calibri" w:hAnsi="Times New Roman"/>
          <w:szCs w:val="24"/>
        </w:rPr>
        <w:t>107</w:t>
      </w:r>
      <w:r>
        <w:rPr>
          <w:rFonts w:ascii="Times New Roman" w:eastAsia="Calibri" w:hAnsi="Times New Roman"/>
          <w:szCs w:val="24"/>
        </w:rPr>
        <w:t xml:space="preserve"> and furnish a court reporter to transcribe these proceedings. </w:t>
      </w:r>
      <w:r w:rsidR="007F0797">
        <w:rPr>
          <w:rFonts w:ascii="Times New Roman" w:eastAsia="Calibri" w:hAnsi="Times New Roman"/>
          <w:szCs w:val="24"/>
        </w:rPr>
        <w:t>This is</w:t>
      </w:r>
      <w:r w:rsidR="00275D63">
        <w:rPr>
          <w:rFonts w:ascii="Times New Roman" w:eastAsia="Calibri" w:hAnsi="Times New Roman"/>
          <w:szCs w:val="24"/>
        </w:rPr>
        <w:t xml:space="preserve"> required</w:t>
      </w:r>
      <w:r w:rsidR="005B047B">
        <w:rPr>
          <w:rFonts w:ascii="Times New Roman" w:eastAsia="Calibri" w:hAnsi="Times New Roman"/>
          <w:szCs w:val="24"/>
        </w:rPr>
        <w:t xml:space="preserve"> so tha</w:t>
      </w:r>
      <w:r w:rsidR="007D5520">
        <w:rPr>
          <w:rFonts w:ascii="Times New Roman" w:eastAsia="Calibri" w:hAnsi="Times New Roman"/>
          <w:szCs w:val="24"/>
        </w:rPr>
        <w:t xml:space="preserve">t </w:t>
      </w:r>
      <w:r w:rsidR="00954E84">
        <w:rPr>
          <w:rFonts w:ascii="Times New Roman" w:eastAsia="Calibri" w:hAnsi="Times New Roman"/>
          <w:szCs w:val="24"/>
        </w:rPr>
        <w:t>defendant</w:t>
      </w:r>
      <w:r w:rsidR="007F0797">
        <w:rPr>
          <w:rFonts w:ascii="Times New Roman" w:eastAsia="Calibri" w:hAnsi="Times New Roman"/>
          <w:szCs w:val="24"/>
        </w:rPr>
        <w:t>s</w:t>
      </w:r>
      <w:r w:rsidR="007D5520">
        <w:rPr>
          <w:rFonts w:ascii="Times New Roman" w:eastAsia="Calibri" w:hAnsi="Times New Roman"/>
          <w:szCs w:val="24"/>
        </w:rPr>
        <w:t xml:space="preserve"> may </w:t>
      </w:r>
      <w:r w:rsidR="007F0797">
        <w:rPr>
          <w:rFonts w:ascii="Times New Roman" w:eastAsia="Calibri" w:hAnsi="Times New Roman"/>
          <w:szCs w:val="24"/>
        </w:rPr>
        <w:t xml:space="preserve">capture and </w:t>
      </w:r>
      <w:r w:rsidR="007D5520">
        <w:rPr>
          <w:rFonts w:ascii="Times New Roman" w:eastAsia="Calibri" w:hAnsi="Times New Roman"/>
          <w:szCs w:val="24"/>
        </w:rPr>
        <w:t xml:space="preserve">object to any improper </w:t>
      </w:r>
      <w:r w:rsidR="007F0797">
        <w:rPr>
          <w:rFonts w:ascii="Times New Roman" w:eastAsia="Calibri" w:hAnsi="Times New Roman"/>
          <w:szCs w:val="24"/>
        </w:rPr>
        <w:t xml:space="preserve">comments or </w:t>
      </w:r>
      <w:r w:rsidR="007D5520">
        <w:rPr>
          <w:rFonts w:ascii="Times New Roman" w:eastAsia="Calibri" w:hAnsi="Times New Roman"/>
          <w:szCs w:val="24"/>
        </w:rPr>
        <w:t>conduct with specificity</w:t>
      </w:r>
      <w:r w:rsidR="001A58D8">
        <w:rPr>
          <w:rFonts w:ascii="Times New Roman" w:eastAsia="Calibri" w:hAnsi="Times New Roman"/>
          <w:szCs w:val="24"/>
        </w:rPr>
        <w:t xml:space="preserve"> and </w:t>
      </w:r>
      <w:r w:rsidR="007230CD">
        <w:rPr>
          <w:rFonts w:ascii="Times New Roman" w:eastAsia="Calibri" w:hAnsi="Times New Roman"/>
          <w:szCs w:val="24"/>
        </w:rPr>
        <w:t xml:space="preserve">obtain </w:t>
      </w:r>
      <w:r w:rsidR="001A58D8">
        <w:rPr>
          <w:rFonts w:ascii="Times New Roman" w:eastAsia="Calibri" w:hAnsi="Times New Roman"/>
          <w:szCs w:val="24"/>
        </w:rPr>
        <w:t xml:space="preserve">contemporaneous relief from the Court or, </w:t>
      </w:r>
      <w:r w:rsidR="007F0797">
        <w:rPr>
          <w:rFonts w:ascii="Times New Roman" w:eastAsia="Calibri" w:hAnsi="Times New Roman"/>
          <w:szCs w:val="24"/>
        </w:rPr>
        <w:t>at a minimum</w:t>
      </w:r>
      <w:r w:rsidR="001A58D8">
        <w:rPr>
          <w:rFonts w:ascii="Times New Roman" w:eastAsia="Calibri" w:hAnsi="Times New Roman"/>
          <w:szCs w:val="24"/>
        </w:rPr>
        <w:t>,</w:t>
      </w:r>
      <w:r w:rsidR="007D5520">
        <w:rPr>
          <w:rFonts w:ascii="Times New Roman" w:eastAsia="Calibri" w:hAnsi="Times New Roman"/>
          <w:szCs w:val="24"/>
        </w:rPr>
        <w:t xml:space="preserve"> </w:t>
      </w:r>
      <w:r w:rsidR="00B13B62">
        <w:rPr>
          <w:rFonts w:ascii="Times New Roman" w:eastAsia="Calibri" w:hAnsi="Times New Roman"/>
          <w:szCs w:val="24"/>
        </w:rPr>
        <w:t>have objection</w:t>
      </w:r>
      <w:r w:rsidR="003E28E8">
        <w:rPr>
          <w:rFonts w:ascii="Times New Roman" w:eastAsia="Calibri" w:hAnsi="Times New Roman"/>
          <w:szCs w:val="24"/>
        </w:rPr>
        <w:t>s</w:t>
      </w:r>
      <w:r w:rsidR="00B13B62">
        <w:rPr>
          <w:rFonts w:ascii="Times New Roman" w:eastAsia="Calibri" w:hAnsi="Times New Roman"/>
          <w:szCs w:val="24"/>
        </w:rPr>
        <w:t xml:space="preserve"> memorialized as part of the trial record.</w:t>
      </w:r>
    </w:p>
    <w:p w14:paraId="49795B3A" w14:textId="593E8C36" w:rsidR="00425D43" w:rsidRPr="00C20283" w:rsidRDefault="00425D43" w:rsidP="00850DFF">
      <w:pPr>
        <w:spacing w:line="480" w:lineRule="auto"/>
        <w:contextualSpacing/>
        <w:jc w:val="center"/>
        <w:rPr>
          <w:rFonts w:ascii="Times New Roman" w:eastAsia="Calibri" w:hAnsi="Times New Roman"/>
          <w:szCs w:val="24"/>
          <w:u w:val="single"/>
        </w:rPr>
      </w:pPr>
      <w:r w:rsidRPr="00C20283">
        <w:rPr>
          <w:rFonts w:ascii="Times New Roman" w:eastAsia="Calibri" w:hAnsi="Times New Roman"/>
          <w:szCs w:val="24"/>
          <w:u w:val="single"/>
        </w:rPr>
        <w:t>ARGUMENT</w:t>
      </w:r>
    </w:p>
    <w:p w14:paraId="173FF769" w14:textId="5F8C1ED8" w:rsidR="00443D3B" w:rsidRDefault="00425D43" w:rsidP="003E3925">
      <w:pPr>
        <w:spacing w:line="480" w:lineRule="auto"/>
        <w:ind w:firstLine="72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CPLR 4107</w:t>
      </w:r>
      <w:r w:rsidR="00AB00E5">
        <w:rPr>
          <w:rFonts w:ascii="Times New Roman" w:eastAsia="Calibri" w:hAnsi="Times New Roman"/>
          <w:szCs w:val="24"/>
        </w:rPr>
        <w:t>, entitled “</w:t>
      </w:r>
      <w:r w:rsidR="00AB00E5" w:rsidRPr="00AB00E5">
        <w:rPr>
          <w:rFonts w:ascii="Times New Roman" w:eastAsia="Calibri" w:hAnsi="Times New Roman"/>
          <w:szCs w:val="24"/>
        </w:rPr>
        <w:t>Judge present at examination of jurors</w:t>
      </w:r>
      <w:r w:rsidR="00AB00E5">
        <w:rPr>
          <w:rFonts w:ascii="Times New Roman" w:eastAsia="Calibri" w:hAnsi="Times New Roman"/>
          <w:szCs w:val="24"/>
        </w:rPr>
        <w:t>,” instructs that</w:t>
      </w:r>
      <w:r w:rsidR="00AB00E5" w:rsidRPr="00AB00E5">
        <w:rPr>
          <w:rFonts w:ascii="Times New Roman" w:eastAsia="Calibri" w:hAnsi="Times New Roman"/>
          <w:szCs w:val="24"/>
        </w:rPr>
        <w:t xml:space="preserve"> </w:t>
      </w:r>
      <w:r w:rsidR="00AB00E5">
        <w:rPr>
          <w:rFonts w:ascii="Times New Roman" w:eastAsia="Calibri" w:hAnsi="Times New Roman"/>
          <w:szCs w:val="24"/>
        </w:rPr>
        <w:t>“[o]</w:t>
      </w:r>
      <w:r w:rsidR="00AB00E5" w:rsidRPr="00AB00E5">
        <w:rPr>
          <w:rFonts w:ascii="Times New Roman" w:eastAsia="Calibri" w:hAnsi="Times New Roman"/>
          <w:szCs w:val="24"/>
        </w:rPr>
        <w:t>n application o</w:t>
      </w:r>
      <w:r w:rsidR="00AB00E5">
        <w:rPr>
          <w:rFonts w:ascii="Times New Roman" w:eastAsia="Calibri" w:hAnsi="Times New Roman"/>
          <w:szCs w:val="24"/>
        </w:rPr>
        <w:t>f</w:t>
      </w:r>
      <w:r w:rsidR="00AB00E5" w:rsidRPr="00AB00E5">
        <w:rPr>
          <w:rFonts w:ascii="Times New Roman" w:eastAsia="Calibri" w:hAnsi="Times New Roman"/>
          <w:szCs w:val="24"/>
        </w:rPr>
        <w:t xml:space="preserve"> any party, a judge shall be present at the examination of the jurors.</w:t>
      </w:r>
      <w:r w:rsidR="00AB00E5">
        <w:rPr>
          <w:rFonts w:ascii="Times New Roman" w:eastAsia="Calibri" w:hAnsi="Times New Roman"/>
          <w:szCs w:val="24"/>
        </w:rPr>
        <w:t xml:space="preserve">” </w:t>
      </w:r>
      <w:r w:rsidR="00850DFF">
        <w:rPr>
          <w:rFonts w:ascii="Times New Roman" w:eastAsia="Calibri" w:hAnsi="Times New Roman"/>
          <w:szCs w:val="24"/>
        </w:rPr>
        <w:t xml:space="preserve">The plain language of this rule indicates that </w:t>
      </w:r>
      <w:r w:rsidR="002246DA">
        <w:rPr>
          <w:rFonts w:ascii="Times New Roman" w:eastAsia="Calibri" w:hAnsi="Times New Roman"/>
          <w:szCs w:val="24"/>
        </w:rPr>
        <w:t>judicial supervision</w:t>
      </w:r>
      <w:r w:rsidR="00850DFF">
        <w:rPr>
          <w:rFonts w:ascii="Times New Roman" w:eastAsia="Calibri" w:hAnsi="Times New Roman"/>
          <w:szCs w:val="24"/>
        </w:rPr>
        <w:t xml:space="preserve"> is not </w:t>
      </w:r>
      <w:r w:rsidR="000923D9">
        <w:rPr>
          <w:rFonts w:ascii="Times New Roman" w:eastAsia="Calibri" w:hAnsi="Times New Roman"/>
          <w:szCs w:val="24"/>
        </w:rPr>
        <w:t xml:space="preserve">a matter </w:t>
      </w:r>
      <w:r w:rsidR="00850DFF">
        <w:rPr>
          <w:rFonts w:ascii="Times New Roman" w:eastAsia="Calibri" w:hAnsi="Times New Roman"/>
          <w:szCs w:val="24"/>
        </w:rPr>
        <w:t xml:space="preserve">of discretion for </w:t>
      </w:r>
      <w:r w:rsidR="005A17CE">
        <w:rPr>
          <w:rFonts w:ascii="Times New Roman" w:eastAsia="Calibri" w:hAnsi="Times New Roman"/>
          <w:szCs w:val="24"/>
        </w:rPr>
        <w:t xml:space="preserve">the court, but a right conferred </w:t>
      </w:r>
      <w:r w:rsidR="00A538C6">
        <w:rPr>
          <w:rFonts w:ascii="Times New Roman" w:eastAsia="Calibri" w:hAnsi="Times New Roman"/>
          <w:szCs w:val="24"/>
        </w:rPr>
        <w:t xml:space="preserve">by statute upon a litigant, who may exercise same by application. </w:t>
      </w:r>
      <w:r w:rsidR="00772337">
        <w:rPr>
          <w:rFonts w:ascii="Times New Roman" w:eastAsia="Calibri" w:hAnsi="Times New Roman"/>
          <w:szCs w:val="24"/>
        </w:rPr>
        <w:t xml:space="preserve">The decisional law </w:t>
      </w:r>
      <w:r w:rsidR="00954E84">
        <w:rPr>
          <w:rFonts w:ascii="Times New Roman" w:eastAsia="Calibri" w:hAnsi="Times New Roman"/>
          <w:szCs w:val="24"/>
        </w:rPr>
        <w:t>confirms this</w:t>
      </w:r>
      <w:r w:rsidR="00DE3039">
        <w:rPr>
          <w:rFonts w:ascii="Times New Roman" w:eastAsia="Calibri" w:hAnsi="Times New Roman"/>
          <w:szCs w:val="24"/>
        </w:rPr>
        <w:t>.</w:t>
      </w:r>
      <w:r w:rsidR="00FA3C5E">
        <w:rPr>
          <w:rFonts w:ascii="Times New Roman" w:eastAsia="Calibri" w:hAnsi="Times New Roman"/>
          <w:szCs w:val="24"/>
        </w:rPr>
        <w:t xml:space="preserve"> </w:t>
      </w:r>
      <w:r w:rsidR="00FA3C5E">
        <w:rPr>
          <w:rFonts w:ascii="Times New Roman" w:eastAsia="Calibri" w:hAnsi="Times New Roman"/>
          <w:szCs w:val="24"/>
          <w:u w:val="single"/>
        </w:rPr>
        <w:t>See</w:t>
      </w:r>
      <w:r w:rsidR="00DE3039">
        <w:rPr>
          <w:rFonts w:ascii="Times New Roman" w:eastAsia="Calibri" w:hAnsi="Times New Roman"/>
          <w:szCs w:val="24"/>
        </w:rPr>
        <w:t xml:space="preserve"> </w:t>
      </w:r>
      <w:r w:rsidR="00DE3039" w:rsidRPr="00DE3039">
        <w:rPr>
          <w:rFonts w:ascii="Times New Roman" w:eastAsia="Calibri" w:hAnsi="Times New Roman"/>
          <w:szCs w:val="24"/>
          <w:u w:val="single"/>
        </w:rPr>
        <w:t>Baginski v. New York Tel. Co.</w:t>
      </w:r>
      <w:r w:rsidR="00DE3039" w:rsidRPr="00DE3039">
        <w:rPr>
          <w:rFonts w:ascii="Times New Roman" w:eastAsia="Calibri" w:hAnsi="Times New Roman"/>
          <w:szCs w:val="24"/>
        </w:rPr>
        <w:t>, 130 A.D.2d 362, 366</w:t>
      </w:r>
      <w:r w:rsidR="00DE3039">
        <w:rPr>
          <w:rFonts w:ascii="Times New Roman" w:eastAsia="Calibri" w:hAnsi="Times New Roman"/>
          <w:szCs w:val="24"/>
        </w:rPr>
        <w:t xml:space="preserve"> </w:t>
      </w:r>
      <w:r w:rsidR="00DE3039" w:rsidRPr="00DE3039">
        <w:rPr>
          <w:rFonts w:ascii="Times New Roman" w:eastAsia="Calibri" w:hAnsi="Times New Roman"/>
          <w:szCs w:val="24"/>
        </w:rPr>
        <w:t>(</w:t>
      </w:r>
      <w:r w:rsidR="00DE3039">
        <w:rPr>
          <w:rFonts w:ascii="Times New Roman" w:eastAsia="Calibri" w:hAnsi="Times New Roman"/>
          <w:szCs w:val="24"/>
        </w:rPr>
        <w:t xml:space="preserve">1st </w:t>
      </w:r>
      <w:proofErr w:type="spellStart"/>
      <w:r w:rsidR="00DE3039">
        <w:rPr>
          <w:rFonts w:ascii="Times New Roman" w:eastAsia="Calibri" w:hAnsi="Times New Roman"/>
          <w:szCs w:val="24"/>
        </w:rPr>
        <w:t>Dep’t</w:t>
      </w:r>
      <w:proofErr w:type="spellEnd"/>
      <w:r w:rsidR="00DE3039">
        <w:rPr>
          <w:rFonts w:ascii="Times New Roman" w:eastAsia="Calibri" w:hAnsi="Times New Roman"/>
          <w:szCs w:val="24"/>
        </w:rPr>
        <w:t xml:space="preserve"> </w:t>
      </w:r>
      <w:r w:rsidR="00DE3039" w:rsidRPr="00DE3039">
        <w:rPr>
          <w:rFonts w:ascii="Times New Roman" w:eastAsia="Calibri" w:hAnsi="Times New Roman"/>
          <w:szCs w:val="24"/>
        </w:rPr>
        <w:t>1987)</w:t>
      </w:r>
      <w:r w:rsidR="00DE3039">
        <w:rPr>
          <w:rFonts w:ascii="Times New Roman" w:eastAsia="Calibri" w:hAnsi="Times New Roman"/>
          <w:szCs w:val="24"/>
        </w:rPr>
        <w:t xml:space="preserve"> (</w:t>
      </w:r>
      <w:r w:rsidR="007157DF">
        <w:rPr>
          <w:rFonts w:ascii="Times New Roman" w:eastAsia="Calibri" w:hAnsi="Times New Roman"/>
          <w:szCs w:val="24"/>
        </w:rPr>
        <w:t xml:space="preserve">holding that </w:t>
      </w:r>
      <w:r w:rsidR="00DE3039">
        <w:rPr>
          <w:rFonts w:ascii="Times New Roman" w:eastAsia="Calibri" w:hAnsi="Times New Roman"/>
          <w:szCs w:val="24"/>
        </w:rPr>
        <w:t xml:space="preserve">the language of CPLR 4107 is “mandatory” and </w:t>
      </w:r>
      <w:r w:rsidR="007157DF">
        <w:rPr>
          <w:rFonts w:ascii="Times New Roman" w:eastAsia="Calibri" w:hAnsi="Times New Roman"/>
          <w:szCs w:val="24"/>
        </w:rPr>
        <w:t>“</w:t>
      </w:r>
      <w:r w:rsidR="007157DF" w:rsidRPr="007157DF">
        <w:rPr>
          <w:rFonts w:ascii="Times New Roman" w:eastAsia="Calibri" w:hAnsi="Times New Roman"/>
          <w:szCs w:val="24"/>
        </w:rPr>
        <w:t>the court's failure to implement the provisions of CPLR 4107</w:t>
      </w:r>
      <w:r w:rsidR="00DB39B6">
        <w:rPr>
          <w:rFonts w:ascii="Times New Roman" w:eastAsia="Calibri" w:hAnsi="Times New Roman"/>
          <w:szCs w:val="24"/>
        </w:rPr>
        <w:t>” by assigning a judge to oversee the examination of jurors</w:t>
      </w:r>
      <w:r w:rsidR="007157DF" w:rsidRPr="007157DF">
        <w:rPr>
          <w:rFonts w:ascii="Times New Roman" w:eastAsia="Calibri" w:hAnsi="Times New Roman"/>
          <w:szCs w:val="24"/>
        </w:rPr>
        <w:t xml:space="preserve"> </w:t>
      </w:r>
      <w:r w:rsidR="00DB39B6">
        <w:rPr>
          <w:rFonts w:ascii="Times New Roman" w:eastAsia="Calibri" w:hAnsi="Times New Roman"/>
          <w:szCs w:val="24"/>
        </w:rPr>
        <w:t>“</w:t>
      </w:r>
      <w:r w:rsidR="007157DF" w:rsidRPr="007157DF">
        <w:rPr>
          <w:rFonts w:ascii="Times New Roman" w:eastAsia="Calibri" w:hAnsi="Times New Roman"/>
          <w:szCs w:val="24"/>
        </w:rPr>
        <w:t>is reversible error and a new trial is therefore warranted</w:t>
      </w:r>
      <w:r w:rsidR="00781940">
        <w:rPr>
          <w:rFonts w:ascii="Times New Roman" w:eastAsia="Calibri" w:hAnsi="Times New Roman"/>
          <w:szCs w:val="24"/>
        </w:rPr>
        <w:t>” especially where “no record of</w:t>
      </w:r>
      <w:r w:rsidR="008E1E90">
        <w:rPr>
          <w:rFonts w:ascii="Times New Roman" w:eastAsia="Calibri" w:hAnsi="Times New Roman"/>
          <w:szCs w:val="24"/>
        </w:rPr>
        <w:t xml:space="preserve"> the</w:t>
      </w:r>
      <w:r w:rsidR="00781940">
        <w:rPr>
          <w:rFonts w:ascii="Times New Roman" w:eastAsia="Calibri" w:hAnsi="Times New Roman"/>
          <w:szCs w:val="24"/>
        </w:rPr>
        <w:t xml:space="preserve"> </w:t>
      </w:r>
      <w:proofErr w:type="spellStart"/>
      <w:r w:rsidR="00781940">
        <w:rPr>
          <w:rFonts w:ascii="Times New Roman" w:eastAsia="Calibri" w:hAnsi="Times New Roman"/>
          <w:szCs w:val="24"/>
        </w:rPr>
        <w:t>voir</w:t>
      </w:r>
      <w:proofErr w:type="spellEnd"/>
      <w:r w:rsidR="00781940">
        <w:rPr>
          <w:rFonts w:ascii="Times New Roman" w:eastAsia="Calibri" w:hAnsi="Times New Roman"/>
          <w:szCs w:val="24"/>
        </w:rPr>
        <w:t xml:space="preserve"> dire proceeding was made.”</w:t>
      </w:r>
      <w:r w:rsidR="003E3925">
        <w:rPr>
          <w:rFonts w:ascii="Times New Roman" w:eastAsia="Calibri" w:hAnsi="Times New Roman"/>
          <w:szCs w:val="24"/>
        </w:rPr>
        <w:t xml:space="preserve">); </w:t>
      </w:r>
      <w:r w:rsidR="003E3925" w:rsidRPr="00973A42">
        <w:rPr>
          <w:rFonts w:ascii="Times New Roman" w:eastAsia="Calibri" w:hAnsi="Times New Roman"/>
          <w:szCs w:val="24"/>
          <w:u w:val="single"/>
        </w:rPr>
        <w:t>Brooks v. City of Mount Vernon</w:t>
      </w:r>
      <w:r w:rsidR="003E3925" w:rsidRPr="003E3925">
        <w:rPr>
          <w:rFonts w:ascii="Times New Roman" w:eastAsia="Calibri" w:hAnsi="Times New Roman"/>
          <w:szCs w:val="24"/>
        </w:rPr>
        <w:t>, 280 A.D.2d 631, 632 (2</w:t>
      </w:r>
      <w:r w:rsidR="003E3925">
        <w:rPr>
          <w:rFonts w:ascii="Times New Roman" w:eastAsia="Calibri" w:hAnsi="Times New Roman"/>
          <w:szCs w:val="24"/>
        </w:rPr>
        <w:t xml:space="preserve">d </w:t>
      </w:r>
      <w:proofErr w:type="spellStart"/>
      <w:r w:rsidR="003E3925">
        <w:rPr>
          <w:rFonts w:ascii="Times New Roman" w:eastAsia="Calibri" w:hAnsi="Times New Roman"/>
          <w:szCs w:val="24"/>
        </w:rPr>
        <w:t>Dep’t</w:t>
      </w:r>
      <w:proofErr w:type="spellEnd"/>
      <w:r w:rsidR="003E3925">
        <w:rPr>
          <w:rFonts w:ascii="Times New Roman" w:eastAsia="Calibri" w:hAnsi="Times New Roman"/>
          <w:szCs w:val="24"/>
        </w:rPr>
        <w:t xml:space="preserve"> 2</w:t>
      </w:r>
      <w:r w:rsidR="003E3925" w:rsidRPr="003E3925">
        <w:rPr>
          <w:rFonts w:ascii="Times New Roman" w:eastAsia="Calibri" w:hAnsi="Times New Roman"/>
          <w:szCs w:val="24"/>
        </w:rPr>
        <w:t>001)</w:t>
      </w:r>
      <w:r w:rsidR="003E3925">
        <w:rPr>
          <w:rFonts w:ascii="Times New Roman" w:eastAsia="Calibri" w:hAnsi="Times New Roman"/>
          <w:szCs w:val="24"/>
        </w:rPr>
        <w:t xml:space="preserve"> (“</w:t>
      </w:r>
      <w:r w:rsidR="003E3925" w:rsidRPr="003E3925">
        <w:rPr>
          <w:rFonts w:ascii="Times New Roman" w:eastAsia="Calibri" w:hAnsi="Times New Roman"/>
          <w:szCs w:val="24"/>
        </w:rPr>
        <w:t>The language of the statute is mandatory, and the failure to comply with its provisions constitutes reversible error</w:t>
      </w:r>
      <w:r w:rsidR="003E3925">
        <w:rPr>
          <w:rFonts w:ascii="Times New Roman" w:eastAsia="Calibri" w:hAnsi="Times New Roman"/>
          <w:szCs w:val="24"/>
        </w:rPr>
        <w:t>.”)</w:t>
      </w:r>
      <w:r w:rsidR="006A61D7">
        <w:rPr>
          <w:rFonts w:ascii="Times New Roman" w:eastAsia="Calibri" w:hAnsi="Times New Roman"/>
          <w:szCs w:val="24"/>
        </w:rPr>
        <w:t>.</w:t>
      </w:r>
      <w:r w:rsidR="007F0797">
        <w:rPr>
          <w:rFonts w:ascii="Times New Roman" w:eastAsia="Calibri" w:hAnsi="Times New Roman"/>
          <w:szCs w:val="24"/>
        </w:rPr>
        <w:t xml:space="preserve"> New York is virtually alone in the United States in its “practice” of permitting </w:t>
      </w:r>
      <w:proofErr w:type="spellStart"/>
      <w:r w:rsidR="007F0797">
        <w:rPr>
          <w:rFonts w:ascii="Times New Roman" w:eastAsia="Calibri" w:hAnsi="Times New Roman"/>
          <w:szCs w:val="24"/>
        </w:rPr>
        <w:t>voir</w:t>
      </w:r>
      <w:proofErr w:type="spellEnd"/>
      <w:r w:rsidR="007F0797">
        <w:rPr>
          <w:rFonts w:ascii="Times New Roman" w:eastAsia="Calibri" w:hAnsi="Times New Roman"/>
          <w:szCs w:val="24"/>
        </w:rPr>
        <w:t xml:space="preserve"> dire without judicial supervision, and this statute simply confirms that, notwithstanding this </w:t>
      </w:r>
      <w:r w:rsidR="005B4A17">
        <w:rPr>
          <w:rFonts w:ascii="Times New Roman" w:eastAsia="Calibri" w:hAnsi="Times New Roman"/>
          <w:szCs w:val="24"/>
        </w:rPr>
        <w:t xml:space="preserve">localized </w:t>
      </w:r>
      <w:r w:rsidR="007F0797">
        <w:rPr>
          <w:rFonts w:ascii="Times New Roman" w:eastAsia="Calibri" w:hAnsi="Times New Roman"/>
          <w:szCs w:val="24"/>
        </w:rPr>
        <w:t>“practice”, judicial supervision is a litigant’s absolute right.</w:t>
      </w:r>
    </w:p>
    <w:p w14:paraId="4F95E43C" w14:textId="340F1425" w:rsidR="00425D43" w:rsidRDefault="00FA3C5E" w:rsidP="003E28E8">
      <w:pPr>
        <w:spacing w:line="480" w:lineRule="auto"/>
        <w:ind w:firstLine="72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By this motion, </w:t>
      </w:r>
      <w:proofErr w:type="gramStart"/>
      <w:r w:rsidR="00954E84">
        <w:rPr>
          <w:rFonts w:ascii="Times New Roman" w:eastAsia="Calibri" w:hAnsi="Times New Roman"/>
          <w:szCs w:val="24"/>
        </w:rPr>
        <w:t>defendant</w:t>
      </w:r>
      <w:r w:rsidR="003E28E8">
        <w:rPr>
          <w:rFonts w:ascii="Times New Roman" w:eastAsia="Calibri" w:hAnsi="Times New Roman"/>
          <w:szCs w:val="24"/>
        </w:rPr>
        <w:t>s</w:t>
      </w:r>
      <w:proofErr w:type="gramEnd"/>
      <w:r>
        <w:rPr>
          <w:rFonts w:ascii="Times New Roman" w:eastAsia="Calibri" w:hAnsi="Times New Roman"/>
          <w:szCs w:val="24"/>
        </w:rPr>
        <w:t xml:space="preserve"> requests </w:t>
      </w:r>
      <w:r w:rsidR="00443D3B">
        <w:rPr>
          <w:rFonts w:ascii="Times New Roman" w:eastAsia="Calibri" w:hAnsi="Times New Roman"/>
          <w:szCs w:val="24"/>
        </w:rPr>
        <w:t xml:space="preserve">that the Court supervise </w:t>
      </w:r>
      <w:proofErr w:type="spellStart"/>
      <w:r w:rsidR="00443D3B">
        <w:rPr>
          <w:rFonts w:ascii="Times New Roman" w:eastAsia="Calibri" w:hAnsi="Times New Roman"/>
          <w:szCs w:val="24"/>
        </w:rPr>
        <w:t>voir</w:t>
      </w:r>
      <w:proofErr w:type="spellEnd"/>
      <w:r w:rsidR="00443D3B">
        <w:rPr>
          <w:rFonts w:ascii="Times New Roman" w:eastAsia="Calibri" w:hAnsi="Times New Roman"/>
          <w:szCs w:val="24"/>
        </w:rPr>
        <w:t xml:space="preserve"> dire in accordance with the mandatory directive of CPLR 4107</w:t>
      </w:r>
      <w:r w:rsidR="003E28E8">
        <w:rPr>
          <w:rFonts w:ascii="Times New Roman" w:eastAsia="Calibri" w:hAnsi="Times New Roman"/>
          <w:szCs w:val="24"/>
        </w:rPr>
        <w:t xml:space="preserve">, or issue a directive having </w:t>
      </w:r>
      <w:r w:rsidR="00FA3FB0">
        <w:rPr>
          <w:rFonts w:ascii="Times New Roman" w:eastAsia="Calibri" w:hAnsi="Times New Roman"/>
          <w:szCs w:val="24"/>
        </w:rPr>
        <w:t>a court reporter to transcribe these proceedings</w:t>
      </w:r>
      <w:r w:rsidR="00746A6F">
        <w:rPr>
          <w:rFonts w:ascii="Times New Roman" w:eastAsia="Calibri" w:hAnsi="Times New Roman"/>
          <w:szCs w:val="24"/>
        </w:rPr>
        <w:t xml:space="preserve">. </w:t>
      </w:r>
      <w:r w:rsidR="003E28E8">
        <w:rPr>
          <w:rFonts w:ascii="Times New Roman" w:eastAsia="Calibri" w:hAnsi="Times New Roman"/>
          <w:szCs w:val="24"/>
        </w:rPr>
        <w:t>M</w:t>
      </w:r>
      <w:r w:rsidR="00A95BA0">
        <w:rPr>
          <w:rFonts w:ascii="Times New Roman" w:eastAsia="Calibri" w:hAnsi="Times New Roman"/>
          <w:szCs w:val="24"/>
        </w:rPr>
        <w:t>isconduct</w:t>
      </w:r>
      <w:r w:rsidR="000875E2">
        <w:rPr>
          <w:rFonts w:ascii="Times New Roman" w:eastAsia="Calibri" w:hAnsi="Times New Roman"/>
          <w:szCs w:val="24"/>
        </w:rPr>
        <w:t xml:space="preserve">, while often </w:t>
      </w:r>
      <w:r w:rsidR="009E4AAD">
        <w:rPr>
          <w:rFonts w:ascii="Times New Roman" w:eastAsia="Calibri" w:hAnsi="Times New Roman"/>
          <w:szCs w:val="24"/>
        </w:rPr>
        <w:t>most apparent during the trial phase</w:t>
      </w:r>
      <w:r w:rsidR="000875E2">
        <w:rPr>
          <w:rFonts w:ascii="Times New Roman" w:eastAsia="Calibri" w:hAnsi="Times New Roman"/>
          <w:szCs w:val="24"/>
        </w:rPr>
        <w:t>,</w:t>
      </w:r>
      <w:r w:rsidR="00A95BA0">
        <w:rPr>
          <w:rFonts w:ascii="Times New Roman" w:eastAsia="Calibri" w:hAnsi="Times New Roman"/>
          <w:szCs w:val="24"/>
        </w:rPr>
        <w:t xml:space="preserve"> </w:t>
      </w:r>
      <w:r w:rsidR="000875E2">
        <w:rPr>
          <w:rFonts w:ascii="Times New Roman" w:eastAsia="Calibri" w:hAnsi="Times New Roman"/>
          <w:szCs w:val="24"/>
        </w:rPr>
        <w:t>is</w:t>
      </w:r>
      <w:r w:rsidR="00A95BA0">
        <w:rPr>
          <w:rFonts w:ascii="Times New Roman" w:eastAsia="Calibri" w:hAnsi="Times New Roman"/>
          <w:szCs w:val="24"/>
        </w:rPr>
        <w:t xml:space="preserve"> often </w:t>
      </w:r>
      <w:r w:rsidR="00336E01">
        <w:rPr>
          <w:rFonts w:ascii="Times New Roman" w:eastAsia="Calibri" w:hAnsi="Times New Roman"/>
          <w:szCs w:val="24"/>
        </w:rPr>
        <w:t>smuggled</w:t>
      </w:r>
      <w:r w:rsidR="00A95BA0">
        <w:rPr>
          <w:rFonts w:ascii="Times New Roman" w:eastAsia="Calibri" w:hAnsi="Times New Roman"/>
          <w:szCs w:val="24"/>
        </w:rPr>
        <w:t xml:space="preserve"> by counsel </w:t>
      </w:r>
      <w:r w:rsidR="009E4AAD">
        <w:rPr>
          <w:rFonts w:ascii="Times New Roman" w:eastAsia="Calibri" w:hAnsi="Times New Roman"/>
          <w:szCs w:val="24"/>
        </w:rPr>
        <w:t>inconspicuously during the selection process.</w:t>
      </w:r>
      <w:r w:rsidR="00275D63">
        <w:rPr>
          <w:rFonts w:ascii="Times New Roman" w:eastAsia="Calibri" w:hAnsi="Times New Roman"/>
          <w:szCs w:val="24"/>
        </w:rPr>
        <w:t xml:space="preserve"> </w:t>
      </w:r>
      <w:r w:rsidR="009E4AAD">
        <w:rPr>
          <w:rFonts w:ascii="Times New Roman" w:eastAsia="Calibri" w:hAnsi="Times New Roman"/>
          <w:szCs w:val="24"/>
        </w:rPr>
        <w:t xml:space="preserve">The Reptile book </w:t>
      </w:r>
      <w:r w:rsidR="00336E01">
        <w:rPr>
          <w:rFonts w:ascii="Times New Roman" w:eastAsia="Calibri" w:hAnsi="Times New Roman"/>
          <w:szCs w:val="24"/>
        </w:rPr>
        <w:t>advises</w:t>
      </w:r>
      <w:r w:rsidR="009E4AAD">
        <w:rPr>
          <w:rFonts w:ascii="Times New Roman" w:eastAsia="Calibri" w:hAnsi="Times New Roman"/>
          <w:szCs w:val="24"/>
        </w:rPr>
        <w:t xml:space="preserve"> its practitioners to undertake this approach, </w:t>
      </w:r>
      <w:r w:rsidR="009E4AAD" w:rsidRPr="00336E01">
        <w:rPr>
          <w:rFonts w:ascii="Times New Roman" w:eastAsia="Calibri" w:hAnsi="Times New Roman"/>
          <w:szCs w:val="24"/>
        </w:rPr>
        <w:t>instructing that “</w:t>
      </w:r>
      <w:r w:rsidR="009E4AAD" w:rsidRPr="00336E01">
        <w:rPr>
          <w:rFonts w:ascii="Times New Roman" w:hAnsi="Times New Roman"/>
        </w:rPr>
        <w:t xml:space="preserve">[t]ne first step in a Reptilian approach is to get jurors personally </w:t>
      </w:r>
      <w:r w:rsidR="00D25E80">
        <w:rPr>
          <w:rFonts w:ascii="Times New Roman" w:hAnsi="Times New Roman"/>
        </w:rPr>
        <w:t>i</w:t>
      </w:r>
      <w:r w:rsidR="009E4AAD" w:rsidRPr="00336E01">
        <w:rPr>
          <w:rFonts w:ascii="Times New Roman" w:hAnsi="Times New Roman"/>
        </w:rPr>
        <w:t xml:space="preserve">nvolved with the kinds of dangers your case represents” (p. </w:t>
      </w:r>
      <w:r w:rsidR="00336E01" w:rsidRPr="00336E01">
        <w:rPr>
          <w:rFonts w:ascii="Times New Roman" w:hAnsi="Times New Roman"/>
        </w:rPr>
        <w:t>119)</w:t>
      </w:r>
      <w:r w:rsidR="00D25E80">
        <w:rPr>
          <w:rFonts w:ascii="Times New Roman" w:eastAsia="Calibri" w:hAnsi="Times New Roman"/>
          <w:szCs w:val="24"/>
        </w:rPr>
        <w:t xml:space="preserve"> and offering examples of questions that will convey these improper themes without detection by opposing counsel</w:t>
      </w:r>
      <w:r w:rsidR="00BE20C1">
        <w:rPr>
          <w:rFonts w:ascii="Times New Roman" w:eastAsia="Calibri" w:hAnsi="Times New Roman"/>
          <w:szCs w:val="24"/>
        </w:rPr>
        <w:t xml:space="preserve"> (p. 122).</w:t>
      </w:r>
      <w:r w:rsidR="0072053C">
        <w:rPr>
          <w:rFonts w:ascii="Times New Roman" w:eastAsia="Calibri" w:hAnsi="Times New Roman"/>
          <w:szCs w:val="24"/>
        </w:rPr>
        <w:t xml:space="preserve"> </w:t>
      </w:r>
      <w:r w:rsidR="003E28E8">
        <w:rPr>
          <w:rFonts w:ascii="Times New Roman" w:eastAsia="Calibri" w:hAnsi="Times New Roman"/>
          <w:szCs w:val="24"/>
        </w:rPr>
        <w:t>B</w:t>
      </w:r>
      <w:r w:rsidR="00600904">
        <w:rPr>
          <w:rFonts w:ascii="Times New Roman" w:eastAsia="Calibri" w:hAnsi="Times New Roman"/>
          <w:szCs w:val="24"/>
        </w:rPr>
        <w:t xml:space="preserve">ecause </w:t>
      </w:r>
      <w:r w:rsidR="004B6891">
        <w:rPr>
          <w:rFonts w:ascii="Times New Roman" w:eastAsia="Calibri" w:hAnsi="Times New Roman"/>
          <w:szCs w:val="24"/>
        </w:rPr>
        <w:t xml:space="preserve">counsel </w:t>
      </w:r>
      <w:proofErr w:type="gramStart"/>
      <w:r w:rsidR="009456A0">
        <w:rPr>
          <w:rFonts w:ascii="Times New Roman" w:eastAsia="Calibri" w:hAnsi="Times New Roman"/>
          <w:szCs w:val="24"/>
        </w:rPr>
        <w:t>deploy</w:t>
      </w:r>
      <w:proofErr w:type="gramEnd"/>
      <w:r w:rsidR="009456A0">
        <w:rPr>
          <w:rFonts w:ascii="Times New Roman" w:eastAsia="Calibri" w:hAnsi="Times New Roman"/>
          <w:szCs w:val="24"/>
        </w:rPr>
        <w:t xml:space="preserve"> these tactics</w:t>
      </w:r>
      <w:r w:rsidR="00600904">
        <w:rPr>
          <w:rFonts w:ascii="Times New Roman" w:eastAsia="Calibri" w:hAnsi="Times New Roman"/>
          <w:szCs w:val="24"/>
        </w:rPr>
        <w:t xml:space="preserve"> so discreetly</w:t>
      </w:r>
      <w:r w:rsidR="001C7CF4">
        <w:rPr>
          <w:rFonts w:ascii="Times New Roman" w:eastAsia="Calibri" w:hAnsi="Times New Roman"/>
          <w:szCs w:val="24"/>
        </w:rPr>
        <w:t xml:space="preserve"> and from such an early stage, a clear and written record </w:t>
      </w:r>
      <w:r w:rsidR="00274E72">
        <w:rPr>
          <w:rFonts w:ascii="Times New Roman" w:eastAsia="Calibri" w:hAnsi="Times New Roman"/>
          <w:szCs w:val="24"/>
        </w:rPr>
        <w:t>of th</w:t>
      </w:r>
      <w:r w:rsidR="004B6891">
        <w:rPr>
          <w:rFonts w:ascii="Times New Roman" w:eastAsia="Calibri" w:hAnsi="Times New Roman"/>
          <w:szCs w:val="24"/>
        </w:rPr>
        <w:t>eir</w:t>
      </w:r>
      <w:r w:rsidR="00274E72">
        <w:rPr>
          <w:rFonts w:ascii="Times New Roman" w:eastAsia="Calibri" w:hAnsi="Times New Roman"/>
          <w:szCs w:val="24"/>
        </w:rPr>
        <w:t xml:space="preserve"> </w:t>
      </w:r>
      <w:r w:rsidR="00587A21">
        <w:rPr>
          <w:rFonts w:ascii="Times New Roman" w:eastAsia="Calibri" w:hAnsi="Times New Roman"/>
          <w:szCs w:val="24"/>
        </w:rPr>
        <w:t>deployment</w:t>
      </w:r>
      <w:r w:rsidR="00274E72">
        <w:rPr>
          <w:rFonts w:ascii="Times New Roman" w:eastAsia="Calibri" w:hAnsi="Times New Roman"/>
          <w:szCs w:val="24"/>
        </w:rPr>
        <w:t xml:space="preserve"> </w:t>
      </w:r>
      <w:r w:rsidR="00B737E8">
        <w:rPr>
          <w:rFonts w:ascii="Times New Roman" w:eastAsia="Calibri" w:hAnsi="Times New Roman"/>
          <w:szCs w:val="24"/>
        </w:rPr>
        <w:t xml:space="preserve">is </w:t>
      </w:r>
      <w:r w:rsidR="0072053C">
        <w:rPr>
          <w:rFonts w:ascii="Times New Roman" w:eastAsia="Calibri" w:hAnsi="Times New Roman"/>
          <w:szCs w:val="24"/>
        </w:rPr>
        <w:t>an indispensable part of</w:t>
      </w:r>
      <w:r w:rsidR="00B737E8">
        <w:rPr>
          <w:rFonts w:ascii="Times New Roman" w:eastAsia="Calibri" w:hAnsi="Times New Roman"/>
          <w:szCs w:val="24"/>
        </w:rPr>
        <w:t xml:space="preserve"> demonstrat</w:t>
      </w:r>
      <w:r w:rsidR="0072053C">
        <w:rPr>
          <w:rFonts w:ascii="Times New Roman" w:eastAsia="Calibri" w:hAnsi="Times New Roman"/>
          <w:szCs w:val="24"/>
        </w:rPr>
        <w:t>ing</w:t>
      </w:r>
      <w:r w:rsidR="00B737E8">
        <w:rPr>
          <w:rFonts w:ascii="Times New Roman" w:eastAsia="Calibri" w:hAnsi="Times New Roman"/>
          <w:szCs w:val="24"/>
        </w:rPr>
        <w:t xml:space="preserve"> their pervasiveness.</w:t>
      </w:r>
      <w:r w:rsidR="00A600C5">
        <w:rPr>
          <w:rFonts w:ascii="Times New Roman" w:eastAsia="Calibri" w:hAnsi="Times New Roman"/>
          <w:szCs w:val="24"/>
        </w:rPr>
        <w:t xml:space="preserve"> </w:t>
      </w:r>
      <w:r w:rsidR="00AF1A84">
        <w:rPr>
          <w:rFonts w:ascii="Times New Roman" w:eastAsia="Calibri" w:hAnsi="Times New Roman"/>
          <w:szCs w:val="24"/>
        </w:rPr>
        <w:t xml:space="preserve">Moreover, and vitally, transcription of </w:t>
      </w:r>
      <w:proofErr w:type="spellStart"/>
      <w:r w:rsidR="00AF1A84">
        <w:rPr>
          <w:rFonts w:ascii="Times New Roman" w:eastAsia="Calibri" w:hAnsi="Times New Roman"/>
          <w:szCs w:val="24"/>
        </w:rPr>
        <w:t>voir</w:t>
      </w:r>
      <w:proofErr w:type="spellEnd"/>
      <w:r w:rsidR="00AF1A84">
        <w:rPr>
          <w:rFonts w:ascii="Times New Roman" w:eastAsia="Calibri" w:hAnsi="Times New Roman"/>
          <w:szCs w:val="24"/>
        </w:rPr>
        <w:t xml:space="preserve"> dire </w:t>
      </w:r>
      <w:r w:rsidR="00FD0E3C">
        <w:rPr>
          <w:rFonts w:ascii="Times New Roman" w:eastAsia="Calibri" w:hAnsi="Times New Roman"/>
          <w:szCs w:val="24"/>
        </w:rPr>
        <w:t>will impose no</w:t>
      </w:r>
      <w:r w:rsidR="00AF1A84">
        <w:rPr>
          <w:rFonts w:ascii="Times New Roman" w:eastAsia="Calibri" w:hAnsi="Times New Roman"/>
          <w:szCs w:val="24"/>
        </w:rPr>
        <w:t xml:space="preserve"> undue prejudice on </w:t>
      </w:r>
      <w:r w:rsidR="00FD0E3C">
        <w:rPr>
          <w:rFonts w:ascii="Times New Roman" w:eastAsia="Calibri" w:hAnsi="Times New Roman"/>
          <w:szCs w:val="24"/>
        </w:rPr>
        <w:t>any of the parties here.</w:t>
      </w:r>
      <w:r w:rsidR="005B4A17">
        <w:rPr>
          <w:rFonts w:ascii="Times New Roman" w:eastAsia="Calibri" w:hAnsi="Times New Roman"/>
          <w:szCs w:val="24"/>
        </w:rPr>
        <w:t xml:space="preserve"> </w:t>
      </w:r>
    </w:p>
    <w:p w14:paraId="0D46E89C" w14:textId="77777777" w:rsidR="005B4A17" w:rsidRDefault="005B4A17">
      <w:pPr>
        <w:spacing w:after="160" w:line="259" w:lineRule="auto"/>
        <w:rPr>
          <w:rFonts w:ascii="Times New Roman" w:eastAsia="Calibri" w:hAnsi="Times New Roman"/>
          <w:szCs w:val="24"/>
          <w:u w:val="single"/>
        </w:rPr>
      </w:pPr>
      <w:r>
        <w:rPr>
          <w:rFonts w:ascii="Times New Roman" w:eastAsia="Calibri" w:hAnsi="Times New Roman"/>
          <w:szCs w:val="24"/>
          <w:u w:val="single"/>
        </w:rPr>
        <w:br w:type="page"/>
      </w:r>
    </w:p>
    <w:p w14:paraId="07E2CA17" w14:textId="1D883430" w:rsidR="00924C06" w:rsidRPr="003763CF" w:rsidRDefault="00924C06" w:rsidP="003763CF">
      <w:pPr>
        <w:spacing w:line="480" w:lineRule="auto"/>
        <w:jc w:val="center"/>
        <w:rPr>
          <w:rFonts w:ascii="Times New Roman" w:eastAsia="Calibri" w:hAnsi="Times New Roman"/>
          <w:szCs w:val="24"/>
          <w:u w:val="single"/>
        </w:rPr>
      </w:pPr>
      <w:r w:rsidRPr="003763CF">
        <w:rPr>
          <w:rFonts w:ascii="Times New Roman" w:eastAsia="Calibri" w:hAnsi="Times New Roman"/>
          <w:szCs w:val="24"/>
          <w:u w:val="single"/>
        </w:rPr>
        <w:t>CONCLUSION</w:t>
      </w:r>
    </w:p>
    <w:p w14:paraId="0C080325" w14:textId="357E7083" w:rsidR="005C2308" w:rsidRPr="00AE4309" w:rsidRDefault="00924C06" w:rsidP="003763CF">
      <w:pPr>
        <w:spacing w:line="480" w:lineRule="auto"/>
        <w:ind w:firstLine="72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For these reasons, the Court should grant </w:t>
      </w:r>
      <w:r w:rsidR="00954E84">
        <w:rPr>
          <w:rFonts w:ascii="Times New Roman" w:eastAsia="Calibri" w:hAnsi="Times New Roman"/>
          <w:szCs w:val="24"/>
        </w:rPr>
        <w:t>defendants</w:t>
      </w:r>
      <w:r w:rsidR="003E28E8">
        <w:rPr>
          <w:rFonts w:ascii="Times New Roman" w:eastAsia="Calibri" w:hAnsi="Times New Roman"/>
          <w:szCs w:val="24"/>
        </w:rPr>
        <w:t>’</w:t>
      </w:r>
      <w:r>
        <w:rPr>
          <w:rFonts w:ascii="Times New Roman" w:eastAsia="Calibri" w:hAnsi="Times New Roman"/>
          <w:szCs w:val="24"/>
        </w:rPr>
        <w:t xml:space="preserve"> motion in its entirety and (1) supervise the jury selection process, </w:t>
      </w:r>
      <w:r w:rsidR="003E28E8">
        <w:rPr>
          <w:rFonts w:ascii="Times New Roman" w:eastAsia="Calibri" w:hAnsi="Times New Roman"/>
          <w:szCs w:val="24"/>
        </w:rPr>
        <w:t xml:space="preserve">and/or </w:t>
      </w:r>
      <w:r>
        <w:rPr>
          <w:rFonts w:ascii="Times New Roman" w:eastAsia="Calibri" w:hAnsi="Times New Roman"/>
          <w:szCs w:val="24"/>
        </w:rPr>
        <w:t xml:space="preserve">(2) </w:t>
      </w:r>
      <w:r w:rsidR="00ED0D71">
        <w:rPr>
          <w:rFonts w:ascii="Times New Roman" w:eastAsia="Calibri" w:hAnsi="Times New Roman"/>
          <w:szCs w:val="24"/>
        </w:rPr>
        <w:t xml:space="preserve">furnish a court reporter to transcribe these proceedings, and (3) grant such other </w:t>
      </w:r>
      <w:r w:rsidR="002D6FBA">
        <w:rPr>
          <w:rFonts w:ascii="Times New Roman" w:eastAsia="Calibri" w:hAnsi="Times New Roman"/>
          <w:szCs w:val="24"/>
        </w:rPr>
        <w:t xml:space="preserve">and further relief in favor of </w:t>
      </w:r>
      <w:r w:rsidR="00954E84">
        <w:rPr>
          <w:rFonts w:ascii="Times New Roman" w:eastAsia="Calibri" w:hAnsi="Times New Roman"/>
          <w:szCs w:val="24"/>
        </w:rPr>
        <w:t>defendant</w:t>
      </w:r>
      <w:r w:rsidR="003E28E8">
        <w:rPr>
          <w:rFonts w:ascii="Times New Roman" w:eastAsia="Calibri" w:hAnsi="Times New Roman"/>
          <w:szCs w:val="24"/>
        </w:rPr>
        <w:t>s</w:t>
      </w:r>
      <w:r w:rsidR="002D6FBA">
        <w:rPr>
          <w:rFonts w:ascii="Times New Roman" w:eastAsia="Calibri" w:hAnsi="Times New Roman"/>
          <w:szCs w:val="24"/>
        </w:rPr>
        <w:t xml:space="preserve"> as it deems just and proper.</w:t>
      </w:r>
    </w:p>
    <w:bookmarkEnd w:id="1"/>
    <w:p w14:paraId="5CE45B90" w14:textId="77777777" w:rsidR="005C2308" w:rsidRPr="008E4796" w:rsidRDefault="005C2308" w:rsidP="005C2308">
      <w:pPr>
        <w:ind w:left="4320"/>
        <w:rPr>
          <w:rFonts w:ascii="Times New Roman" w:eastAsia="Calibri" w:hAnsi="Times New Roman"/>
          <w:szCs w:val="24"/>
        </w:rPr>
      </w:pPr>
      <w:r w:rsidRPr="008E4796">
        <w:rPr>
          <w:rFonts w:ascii="Times New Roman" w:eastAsia="Calibri" w:hAnsi="Times New Roman"/>
          <w:szCs w:val="24"/>
        </w:rPr>
        <w:t>Respectfully submitted,</w:t>
      </w:r>
    </w:p>
    <w:p w14:paraId="3F9993C8" w14:textId="77777777" w:rsidR="005C2308" w:rsidRPr="008E4796" w:rsidRDefault="005C2308" w:rsidP="005C2308">
      <w:pPr>
        <w:ind w:left="4320"/>
        <w:rPr>
          <w:rFonts w:ascii="Times New Roman" w:eastAsia="Calibri" w:hAnsi="Times New Roman"/>
          <w:szCs w:val="24"/>
        </w:rPr>
      </w:pPr>
    </w:p>
    <w:p w14:paraId="779F027F" w14:textId="22831AB2" w:rsidR="007F0797" w:rsidRDefault="007F0797" w:rsidP="007F0797">
      <w:pPr>
        <w:jc w:val="both"/>
        <w:rPr>
          <w:rFonts w:ascii="Times New Roman" w:hAnsi="Times New Roman"/>
          <w:color w:val="000000"/>
          <w:szCs w:val="24"/>
        </w:rPr>
      </w:pPr>
      <w:r w:rsidRPr="00AE4309">
        <w:rPr>
          <w:rFonts w:ascii="Times New Roman" w:hAnsi="Times New Roman"/>
          <w:color w:val="000000"/>
          <w:szCs w:val="24"/>
        </w:rPr>
        <w:t>Dated: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 w:rsidR="00B223DD">
        <w:rPr>
          <w:rFonts w:ascii="Times New Roman" w:hAnsi="Times New Roman"/>
          <w:color w:val="000000"/>
          <w:szCs w:val="24"/>
        </w:rPr>
        <w:t>[date]</w:t>
      </w:r>
    </w:p>
    <w:p w14:paraId="2A2FBED2" w14:textId="77777777" w:rsidR="007F0797" w:rsidRDefault="007F0797" w:rsidP="007F0797">
      <w:pPr>
        <w:jc w:val="both"/>
        <w:rPr>
          <w:rFonts w:ascii="Times New Roman" w:hAnsi="Times New Roman"/>
          <w:color w:val="000000"/>
          <w:szCs w:val="24"/>
        </w:rPr>
      </w:pPr>
    </w:p>
    <w:p w14:paraId="04B83B5C" w14:textId="77777777" w:rsidR="007F0797" w:rsidRPr="00454B1C" w:rsidRDefault="007F0797" w:rsidP="007F0797">
      <w:pPr>
        <w:contextualSpacing/>
        <w:rPr>
          <w:rFonts w:ascii="Times New Roman" w:eastAsia="Calibri" w:hAnsi="Times New Roman"/>
          <w:szCs w:val="24"/>
        </w:rPr>
      </w:pPr>
    </w:p>
    <w:p w14:paraId="2AC9ED53" w14:textId="77777777" w:rsidR="007F0797" w:rsidRPr="00DD175E" w:rsidRDefault="007F0797" w:rsidP="007F0797">
      <w:pPr>
        <w:contextualSpacing/>
        <w:rPr>
          <w:rFonts w:ascii="Times New Roman" w:eastAsia="Calibri" w:hAnsi="Times New Roman"/>
          <w:szCs w:val="24"/>
          <w:u w:val="single"/>
        </w:rPr>
      </w:pPr>
      <w:r w:rsidRPr="00454B1C">
        <w:rPr>
          <w:rFonts w:ascii="Times New Roman" w:eastAsia="Calibri" w:hAnsi="Times New Roman"/>
          <w:szCs w:val="24"/>
        </w:rPr>
        <w:tab/>
      </w:r>
      <w:r w:rsidRPr="00454B1C">
        <w:rPr>
          <w:rFonts w:ascii="Times New Roman" w:eastAsia="Calibri" w:hAnsi="Times New Roman"/>
          <w:szCs w:val="24"/>
        </w:rPr>
        <w:tab/>
      </w:r>
      <w:r w:rsidRPr="00454B1C">
        <w:rPr>
          <w:rFonts w:ascii="Times New Roman" w:eastAsia="Calibri" w:hAnsi="Times New Roman"/>
          <w:szCs w:val="24"/>
        </w:rPr>
        <w:tab/>
      </w:r>
      <w:r w:rsidRPr="00454B1C">
        <w:rPr>
          <w:rFonts w:ascii="Times New Roman" w:eastAsia="Calibri" w:hAnsi="Times New Roman"/>
          <w:szCs w:val="24"/>
        </w:rPr>
        <w:tab/>
      </w:r>
      <w:r w:rsidRPr="00454B1C">
        <w:rPr>
          <w:rFonts w:ascii="Times New Roman" w:eastAsia="Calibri" w:hAnsi="Times New Roman"/>
          <w:szCs w:val="24"/>
        </w:rPr>
        <w:tab/>
      </w:r>
      <w:r w:rsidRPr="00454B1C">
        <w:rPr>
          <w:rFonts w:ascii="Times New Roman" w:eastAsia="Calibri" w:hAnsi="Times New Roman"/>
          <w:szCs w:val="24"/>
        </w:rPr>
        <w:tab/>
      </w:r>
      <w:r w:rsidRPr="00DD175E">
        <w:rPr>
          <w:rFonts w:ascii="Times New Roman" w:eastAsia="Calibri" w:hAnsi="Times New Roman"/>
          <w:szCs w:val="24"/>
          <w:u w:val="single"/>
        </w:rPr>
        <w:t>_______________________</w:t>
      </w:r>
    </w:p>
    <w:p w14:paraId="3271C631" w14:textId="1AA3DFDB" w:rsidR="007F0797" w:rsidRPr="00C97DD1" w:rsidRDefault="007F0797" w:rsidP="00B223DD">
      <w:pPr>
        <w:contextualSpacing/>
        <w:rPr>
          <w:rFonts w:ascii="Times New Roman" w:eastAsia="Calibri" w:hAnsi="Times New Roman"/>
          <w:szCs w:val="24"/>
        </w:rPr>
      </w:pPr>
      <w:r w:rsidRPr="00454B1C">
        <w:rPr>
          <w:rFonts w:ascii="Times New Roman" w:eastAsia="Calibri" w:hAnsi="Times New Roman"/>
          <w:szCs w:val="24"/>
        </w:rPr>
        <w:tab/>
      </w:r>
      <w:r w:rsidRPr="00454B1C">
        <w:rPr>
          <w:rFonts w:ascii="Times New Roman" w:eastAsia="Calibri" w:hAnsi="Times New Roman"/>
          <w:szCs w:val="24"/>
        </w:rPr>
        <w:tab/>
      </w:r>
      <w:r w:rsidRPr="00454B1C">
        <w:rPr>
          <w:rFonts w:ascii="Times New Roman" w:eastAsia="Calibri" w:hAnsi="Times New Roman"/>
          <w:szCs w:val="24"/>
        </w:rPr>
        <w:tab/>
      </w:r>
      <w:r w:rsidRPr="00454B1C">
        <w:rPr>
          <w:rFonts w:ascii="Times New Roman" w:eastAsia="Calibri" w:hAnsi="Times New Roman"/>
          <w:szCs w:val="24"/>
        </w:rPr>
        <w:tab/>
      </w:r>
      <w:r w:rsidRPr="00454B1C">
        <w:rPr>
          <w:rFonts w:ascii="Times New Roman" w:eastAsia="Calibri" w:hAnsi="Times New Roman"/>
          <w:szCs w:val="24"/>
        </w:rPr>
        <w:tab/>
      </w:r>
      <w:r w:rsidRPr="00454B1C">
        <w:rPr>
          <w:rFonts w:ascii="Times New Roman" w:eastAsia="Calibri" w:hAnsi="Times New Roman"/>
          <w:szCs w:val="24"/>
        </w:rPr>
        <w:tab/>
      </w:r>
    </w:p>
    <w:p w14:paraId="2AADFFF0" w14:textId="77777777" w:rsidR="00C94C0C" w:rsidRDefault="00C94C0C"/>
    <w:sectPr w:rsidR="00C94C0C" w:rsidSect="007D7437"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55E05" w14:textId="77777777" w:rsidR="007D7437" w:rsidRDefault="007D7437" w:rsidP="005C2308">
      <w:r>
        <w:separator/>
      </w:r>
    </w:p>
  </w:endnote>
  <w:endnote w:type="continuationSeparator" w:id="0">
    <w:p w14:paraId="1E907760" w14:textId="77777777" w:rsidR="007D7437" w:rsidRDefault="007D7437" w:rsidP="005C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8E600" w14:textId="77777777" w:rsidR="005C2308" w:rsidRDefault="005C23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653994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5CA02B8C" w14:textId="77777777" w:rsidR="00F42364" w:rsidRPr="00DC454E" w:rsidRDefault="00DD5E6B">
        <w:pPr>
          <w:pStyle w:val="Footer"/>
          <w:jc w:val="center"/>
          <w:rPr>
            <w:rFonts w:ascii="Times New Roman" w:hAnsi="Times New Roman"/>
          </w:rPr>
        </w:pPr>
        <w:r w:rsidRPr="00DC454E">
          <w:rPr>
            <w:rFonts w:ascii="Times New Roman" w:hAnsi="Times New Roman"/>
          </w:rPr>
          <w:fldChar w:fldCharType="begin"/>
        </w:r>
        <w:r w:rsidRPr="00DC454E">
          <w:rPr>
            <w:rFonts w:ascii="Times New Roman" w:hAnsi="Times New Roman"/>
          </w:rPr>
          <w:instrText xml:space="preserve"> PAGE   \* MERGEFORMAT </w:instrText>
        </w:r>
        <w:r w:rsidRPr="00DC454E">
          <w:rPr>
            <w:rFonts w:ascii="Times New Roman" w:hAnsi="Times New Roman"/>
          </w:rPr>
          <w:fldChar w:fldCharType="separate"/>
        </w:r>
        <w:r w:rsidRPr="00DC454E">
          <w:rPr>
            <w:rFonts w:ascii="Times New Roman" w:hAnsi="Times New Roman"/>
            <w:noProof/>
          </w:rPr>
          <w:t>2</w:t>
        </w:r>
        <w:r w:rsidRPr="00DC454E">
          <w:rPr>
            <w:rFonts w:ascii="Times New Roman" w:hAnsi="Times New Roman"/>
            <w:noProof/>
          </w:rPr>
          <w:fldChar w:fldCharType="end"/>
        </w:r>
      </w:p>
    </w:sdtContent>
  </w:sdt>
  <w:p w14:paraId="07B38190" w14:textId="77777777" w:rsidR="00F42364" w:rsidRDefault="00F423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1130" w14:textId="77777777" w:rsidR="00F42364" w:rsidRDefault="00F42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04257" w14:textId="77777777" w:rsidR="007D7437" w:rsidRDefault="007D7437" w:rsidP="005C2308">
      <w:r>
        <w:separator/>
      </w:r>
    </w:p>
  </w:footnote>
  <w:footnote w:type="continuationSeparator" w:id="0">
    <w:p w14:paraId="742D5978" w14:textId="77777777" w:rsidR="007D7437" w:rsidRDefault="007D7437" w:rsidP="005C2308">
      <w:r>
        <w:continuationSeparator/>
      </w:r>
    </w:p>
  </w:footnote>
  <w:footnote w:id="1">
    <w:p w14:paraId="7C5A2284" w14:textId="54CB6D95" w:rsidR="00E107ED" w:rsidRPr="00E107ED" w:rsidRDefault="00E107ED" w:rsidP="00E107ED">
      <w:pPr>
        <w:pStyle w:val="FootnoteText"/>
        <w:jc w:val="both"/>
        <w:rPr>
          <w:rFonts w:ascii="Times New Roman" w:hAnsi="Times New Roman"/>
        </w:rPr>
      </w:pPr>
      <w:r w:rsidRPr="00E107ED">
        <w:rPr>
          <w:rStyle w:val="FootnoteReference"/>
          <w:rFonts w:ascii="Times New Roman" w:hAnsi="Times New Roman"/>
        </w:rPr>
        <w:footnoteRef/>
      </w:r>
      <w:r w:rsidRPr="00E107ED">
        <w:rPr>
          <w:rFonts w:ascii="Times New Roman" w:hAnsi="Times New Roman"/>
        </w:rPr>
        <w:t xml:space="preserve"> </w:t>
      </w:r>
      <w:r w:rsidRPr="00E107ED">
        <w:rPr>
          <w:rFonts w:ascii="Times New Roman" w:hAnsi="Times New Roman"/>
          <w:u w:val="single"/>
        </w:rPr>
        <w:t>See</w:t>
      </w:r>
      <w:r w:rsidRPr="00E107ED">
        <w:rPr>
          <w:rFonts w:ascii="Times New Roman" w:hAnsi="Times New Roman"/>
        </w:rPr>
        <w:t xml:space="preserve"> David Ball &amp; Don Keenan, </w:t>
      </w:r>
      <w:r w:rsidRPr="00E107ED">
        <w:rPr>
          <w:rFonts w:ascii="Times New Roman" w:hAnsi="Times New Roman"/>
          <w:u w:val="single"/>
        </w:rPr>
        <w:t xml:space="preserve">Reptile: The 2009 Manual </w:t>
      </w:r>
      <w:proofErr w:type="gramStart"/>
      <w:r w:rsidRPr="00E107ED">
        <w:rPr>
          <w:rFonts w:ascii="Times New Roman" w:hAnsi="Times New Roman"/>
          <w:u w:val="single"/>
        </w:rPr>
        <w:t>Of</w:t>
      </w:r>
      <w:proofErr w:type="gramEnd"/>
      <w:r w:rsidRPr="00E107ED">
        <w:rPr>
          <w:rFonts w:ascii="Times New Roman" w:hAnsi="Times New Roman"/>
          <w:u w:val="single"/>
        </w:rPr>
        <w:t xml:space="preserve"> The Plaintiff’s Revolution</w:t>
      </w:r>
      <w:r w:rsidRPr="00E107ED">
        <w:rPr>
          <w:rFonts w:ascii="Times New Roman" w:hAnsi="Times New Roman"/>
        </w:rPr>
        <w:t xml:space="preserve"> (2009) (listed on Amazon.com at $1,199.99 for paperback on 7/14/23); David Ball &amp; Don Keenan, </w:t>
      </w:r>
      <w:r w:rsidRPr="00E107ED">
        <w:rPr>
          <w:rFonts w:ascii="Times New Roman" w:hAnsi="Times New Roman"/>
          <w:u w:val="single"/>
        </w:rPr>
        <w:t>Reptile In The Mist And Beyond</w:t>
      </w:r>
      <w:r w:rsidRPr="00E107ED">
        <w:rPr>
          <w:rFonts w:ascii="Times New Roman" w:hAnsi="Times New Roman"/>
        </w:rPr>
        <w:t xml:space="preserve"> (2013) (listed on Amazon.com at $895.95 for paperback on 7/14/23).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61EFF"/>
    <w:multiLevelType w:val="hybridMultilevel"/>
    <w:tmpl w:val="CF522574"/>
    <w:lvl w:ilvl="0" w:tplc="0BB6B52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891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08"/>
    <w:rsid w:val="000129B9"/>
    <w:rsid w:val="00020D56"/>
    <w:rsid w:val="00050FC4"/>
    <w:rsid w:val="0006011B"/>
    <w:rsid w:val="000875E2"/>
    <w:rsid w:val="00090C6D"/>
    <w:rsid w:val="000923D9"/>
    <w:rsid w:val="001039D0"/>
    <w:rsid w:val="00105B34"/>
    <w:rsid w:val="00177517"/>
    <w:rsid w:val="00180EE9"/>
    <w:rsid w:val="001A3A8C"/>
    <w:rsid w:val="001A58D8"/>
    <w:rsid w:val="001C7CF4"/>
    <w:rsid w:val="001D32D7"/>
    <w:rsid w:val="001F15B8"/>
    <w:rsid w:val="00214391"/>
    <w:rsid w:val="002246DA"/>
    <w:rsid w:val="00241D24"/>
    <w:rsid w:val="002434F5"/>
    <w:rsid w:val="00274E72"/>
    <w:rsid w:val="00275D63"/>
    <w:rsid w:val="002A464E"/>
    <w:rsid w:val="002D6FBA"/>
    <w:rsid w:val="002E08C6"/>
    <w:rsid w:val="002F1E26"/>
    <w:rsid w:val="00317F36"/>
    <w:rsid w:val="00326F0B"/>
    <w:rsid w:val="00336E01"/>
    <w:rsid w:val="003763CF"/>
    <w:rsid w:val="00376AF5"/>
    <w:rsid w:val="003A24B7"/>
    <w:rsid w:val="003E28E8"/>
    <w:rsid w:val="003E3925"/>
    <w:rsid w:val="00425D43"/>
    <w:rsid w:val="00443D3B"/>
    <w:rsid w:val="00497AE3"/>
    <w:rsid w:val="004B6891"/>
    <w:rsid w:val="004D448F"/>
    <w:rsid w:val="00530474"/>
    <w:rsid w:val="005876E7"/>
    <w:rsid w:val="00587A21"/>
    <w:rsid w:val="005A17CE"/>
    <w:rsid w:val="005B047B"/>
    <w:rsid w:val="005B4A17"/>
    <w:rsid w:val="005C2308"/>
    <w:rsid w:val="00600904"/>
    <w:rsid w:val="0061629D"/>
    <w:rsid w:val="00651A57"/>
    <w:rsid w:val="006A61D7"/>
    <w:rsid w:val="006F29C8"/>
    <w:rsid w:val="007157DF"/>
    <w:rsid w:val="0072053C"/>
    <w:rsid w:val="007230CD"/>
    <w:rsid w:val="0072355C"/>
    <w:rsid w:val="00746A6F"/>
    <w:rsid w:val="00751E67"/>
    <w:rsid w:val="00772337"/>
    <w:rsid w:val="00781940"/>
    <w:rsid w:val="007D5520"/>
    <w:rsid w:val="007D7437"/>
    <w:rsid w:val="007F0797"/>
    <w:rsid w:val="0081545D"/>
    <w:rsid w:val="0083272E"/>
    <w:rsid w:val="00850DFF"/>
    <w:rsid w:val="008816FF"/>
    <w:rsid w:val="008847ED"/>
    <w:rsid w:val="008D3AF8"/>
    <w:rsid w:val="008E1E90"/>
    <w:rsid w:val="00924C06"/>
    <w:rsid w:val="00932E5B"/>
    <w:rsid w:val="00937ACA"/>
    <w:rsid w:val="009456A0"/>
    <w:rsid w:val="00946EAC"/>
    <w:rsid w:val="00954E84"/>
    <w:rsid w:val="00973A42"/>
    <w:rsid w:val="00987C32"/>
    <w:rsid w:val="009A7AAC"/>
    <w:rsid w:val="009B76B8"/>
    <w:rsid w:val="009C256A"/>
    <w:rsid w:val="009E1124"/>
    <w:rsid w:val="009E4AAD"/>
    <w:rsid w:val="00A538C6"/>
    <w:rsid w:val="00A600C5"/>
    <w:rsid w:val="00A73F32"/>
    <w:rsid w:val="00A82296"/>
    <w:rsid w:val="00A95BA0"/>
    <w:rsid w:val="00A97D8E"/>
    <w:rsid w:val="00AB00E5"/>
    <w:rsid w:val="00AF1A84"/>
    <w:rsid w:val="00B04483"/>
    <w:rsid w:val="00B11996"/>
    <w:rsid w:val="00B13B62"/>
    <w:rsid w:val="00B223DD"/>
    <w:rsid w:val="00B737E8"/>
    <w:rsid w:val="00BA29E2"/>
    <w:rsid w:val="00BE20C1"/>
    <w:rsid w:val="00C07C16"/>
    <w:rsid w:val="00C20283"/>
    <w:rsid w:val="00C65790"/>
    <w:rsid w:val="00C80900"/>
    <w:rsid w:val="00C94C0C"/>
    <w:rsid w:val="00D0358E"/>
    <w:rsid w:val="00D25E80"/>
    <w:rsid w:val="00D8196F"/>
    <w:rsid w:val="00D84C79"/>
    <w:rsid w:val="00DB39B6"/>
    <w:rsid w:val="00DD5E6B"/>
    <w:rsid w:val="00DE3039"/>
    <w:rsid w:val="00E107ED"/>
    <w:rsid w:val="00E17237"/>
    <w:rsid w:val="00E2042F"/>
    <w:rsid w:val="00E42FCB"/>
    <w:rsid w:val="00E529C5"/>
    <w:rsid w:val="00ED0D71"/>
    <w:rsid w:val="00ED36C5"/>
    <w:rsid w:val="00F2219F"/>
    <w:rsid w:val="00F42364"/>
    <w:rsid w:val="00F965D0"/>
    <w:rsid w:val="00FA3C5E"/>
    <w:rsid w:val="00FA3FB0"/>
    <w:rsid w:val="00FD0E3C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A6DFB"/>
  <w15:chartTrackingRefBased/>
  <w15:docId w15:val="{722B6699-C410-45CE-8F19-BBC590AE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308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C2308"/>
    <w:rPr>
      <w:rFonts w:ascii="Arial" w:hAnsi="Arial"/>
      <w:bCs/>
      <w:sz w:val="23"/>
      <w:szCs w:val="24"/>
    </w:rPr>
  </w:style>
  <w:style w:type="paragraph" w:styleId="FootnoteText">
    <w:name w:val="footnote text"/>
    <w:basedOn w:val="Normal"/>
    <w:link w:val="FootnoteTextChar"/>
    <w:uiPriority w:val="99"/>
    <w:rsid w:val="005C230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2308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5C2308"/>
    <w:rPr>
      <w:vertAlign w:val="superscript"/>
    </w:rPr>
  </w:style>
  <w:style w:type="paragraph" w:customStyle="1" w:styleId="PartyName">
    <w:name w:val="Party Name"/>
    <w:basedOn w:val="Normal"/>
    <w:rsid w:val="005C2308"/>
    <w:rPr>
      <w:rFonts w:ascii="Arial" w:hAnsi="Arial"/>
      <w:sz w:val="23"/>
    </w:rPr>
  </w:style>
  <w:style w:type="character" w:styleId="Hyperlink">
    <w:name w:val="Hyperlink"/>
    <w:basedOn w:val="DefaultParagraphFont"/>
    <w:uiPriority w:val="99"/>
    <w:unhideWhenUsed/>
    <w:rsid w:val="005C2308"/>
    <w:rPr>
      <w:color w:val="0077CC"/>
      <w:u w:val="single"/>
    </w:rPr>
  </w:style>
  <w:style w:type="paragraph" w:styleId="ListParagraph">
    <w:name w:val="List Paragraph"/>
    <w:basedOn w:val="Normal"/>
    <w:uiPriority w:val="34"/>
    <w:qFormat/>
    <w:rsid w:val="005C230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5C230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308"/>
    <w:rPr>
      <w:rFonts w:ascii="Courier New" w:eastAsia="Times New Roman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C2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308"/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ed7874-d737-4344-9277-792de38091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BDDFC1E4F76468B79D96E19CAEB90" ma:contentTypeVersion="8" ma:contentTypeDescription="Create a new document." ma:contentTypeScope="" ma:versionID="b53da53a21537369c8f212c739af0e13">
  <xsd:schema xmlns:xsd="http://www.w3.org/2001/XMLSchema" xmlns:xs="http://www.w3.org/2001/XMLSchema" xmlns:p="http://schemas.microsoft.com/office/2006/metadata/properties" xmlns:ns3="78ed7874-d737-4344-9277-792de38091d3" xmlns:ns4="8b8a8a5f-2db6-45d7-8849-472a419b888c" targetNamespace="http://schemas.microsoft.com/office/2006/metadata/properties" ma:root="true" ma:fieldsID="966a213cdd84ea912583dc597f4f8354" ns3:_="" ns4:_="">
    <xsd:import namespace="78ed7874-d737-4344-9277-792de38091d3"/>
    <xsd:import namespace="8b8a8a5f-2db6-45d7-8849-472a419b88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d7874-d737-4344-9277-792de3809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8a5f-2db6-45d7-8849-472a419b88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5F742-77B7-49DF-9CF0-82173455FCB1}">
  <ds:schemaRefs>
    <ds:schemaRef ds:uri="http://schemas.microsoft.com/office/2006/metadata/properties"/>
    <ds:schemaRef ds:uri="http://schemas.microsoft.com/office/infopath/2007/PartnerControls"/>
    <ds:schemaRef ds:uri="78ed7874-d737-4344-9277-792de38091d3"/>
  </ds:schemaRefs>
</ds:datastoreItem>
</file>

<file path=customXml/itemProps2.xml><?xml version="1.0" encoding="utf-8"?>
<ds:datastoreItem xmlns:ds="http://schemas.openxmlformats.org/officeDocument/2006/customXml" ds:itemID="{B8F5E65E-200C-4510-AB8E-346CF64E5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4475E8-6981-40FF-803D-2115847AFC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FE14AD-F07B-489D-9F6D-69160AF80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d7874-d737-4344-9277-792de38091d3"/>
    <ds:schemaRef ds:uri="8b8a8a5f-2db6-45d7-8849-472a419b8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 Theobalt</dc:creator>
  <cp:keywords/>
  <dc:description/>
  <cp:lastModifiedBy>Timothy Capowski, Esq.</cp:lastModifiedBy>
  <cp:revision>3</cp:revision>
  <dcterms:created xsi:type="dcterms:W3CDTF">2024-02-26T18:17:00Z</dcterms:created>
  <dcterms:modified xsi:type="dcterms:W3CDTF">2024-02-26T18:18:00Z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0x010100DEDBDDFC1E4F76468B79D96E19CAEB90</vt:lpwstr>
  </property>
</Properties>
</file>