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2B9F" w14:textId="38E9C521" w:rsidR="0005354D" w:rsidRPr="00E00077" w:rsidRDefault="00E00077" w:rsidP="00E00077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00077">
        <w:rPr>
          <w:rFonts w:ascii="Times New Roman" w:hAnsi="Times New Roman" w:cs="Times New Roman"/>
          <w:sz w:val="24"/>
          <w:szCs w:val="24"/>
          <w:u w:val="single"/>
        </w:rPr>
        <w:t>PRELI</w:t>
      </w:r>
      <w:r w:rsidR="00E559D2">
        <w:rPr>
          <w:rFonts w:ascii="Times New Roman" w:hAnsi="Times New Roman" w:cs="Times New Roman"/>
          <w:sz w:val="24"/>
          <w:szCs w:val="24"/>
          <w:u w:val="single"/>
        </w:rPr>
        <w:t>MINARY</w:t>
      </w:r>
      <w:r w:rsidRPr="00E00077">
        <w:rPr>
          <w:rFonts w:ascii="Times New Roman" w:hAnsi="Times New Roman" w:cs="Times New Roman"/>
          <w:sz w:val="24"/>
          <w:szCs w:val="24"/>
          <w:u w:val="single"/>
        </w:rPr>
        <w:t xml:space="preserve"> STATEMENT</w:t>
      </w:r>
    </w:p>
    <w:p w14:paraId="41F98337" w14:textId="29C44D01" w:rsidR="00AF269E" w:rsidRDefault="007E3747" w:rsidP="00092C11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3747">
        <w:rPr>
          <w:rFonts w:ascii="Times New Roman" w:hAnsi="Times New Roman" w:cs="Times New Roman"/>
          <w:sz w:val="24"/>
          <w:szCs w:val="24"/>
        </w:rPr>
        <w:t xml:space="preserve">Defendants submit this memorandum in support of </w:t>
      </w:r>
      <w:r w:rsidR="00AA0D19">
        <w:rPr>
          <w:rFonts w:ascii="Times New Roman" w:hAnsi="Times New Roman" w:cs="Times New Roman"/>
          <w:sz w:val="24"/>
          <w:szCs w:val="24"/>
        </w:rPr>
        <w:t>their</w:t>
      </w:r>
      <w:r w:rsidRPr="007E3747">
        <w:rPr>
          <w:rFonts w:ascii="Times New Roman" w:hAnsi="Times New Roman" w:cs="Times New Roman"/>
          <w:sz w:val="24"/>
          <w:szCs w:val="24"/>
        </w:rPr>
        <w:t xml:space="preserve"> motion </w:t>
      </w:r>
      <w:r w:rsidR="00BA6EEC">
        <w:rPr>
          <w:rFonts w:ascii="Times New Roman" w:hAnsi="Times New Roman" w:cs="Times New Roman"/>
          <w:sz w:val="24"/>
          <w:szCs w:val="24"/>
        </w:rPr>
        <w:t xml:space="preserve">to </w:t>
      </w:r>
      <w:r w:rsidR="00863A16">
        <w:rPr>
          <w:rFonts w:ascii="Times New Roman" w:hAnsi="Times New Roman" w:cs="Times New Roman"/>
          <w:sz w:val="24"/>
          <w:szCs w:val="24"/>
        </w:rPr>
        <w:t xml:space="preserve">preclude </w:t>
      </w:r>
      <w:r w:rsidR="00AF269E">
        <w:rPr>
          <w:rFonts w:ascii="Times New Roman" w:hAnsi="Times New Roman" w:cs="Times New Roman"/>
          <w:sz w:val="24"/>
          <w:szCs w:val="24"/>
        </w:rPr>
        <w:t xml:space="preserve">plaintiff’s counsel </w:t>
      </w:r>
      <w:r w:rsidR="00CC235D">
        <w:rPr>
          <w:rFonts w:ascii="Times New Roman" w:hAnsi="Times New Roman" w:cs="Times New Roman"/>
          <w:sz w:val="24"/>
          <w:szCs w:val="24"/>
        </w:rPr>
        <w:t>from</w:t>
      </w:r>
      <w:r w:rsidR="00092C11">
        <w:rPr>
          <w:rFonts w:ascii="Times New Roman" w:hAnsi="Times New Roman" w:cs="Times New Roman"/>
          <w:sz w:val="24"/>
          <w:szCs w:val="24"/>
        </w:rPr>
        <w:t>: (1)</w:t>
      </w:r>
      <w:r w:rsidR="00AF269E">
        <w:rPr>
          <w:rFonts w:ascii="Times New Roman" w:hAnsi="Times New Roman" w:cs="Times New Roman"/>
          <w:sz w:val="24"/>
          <w:szCs w:val="24"/>
        </w:rPr>
        <w:t xml:space="preserve"> </w:t>
      </w:r>
      <w:r w:rsidR="00CC235D" w:rsidRPr="00CC235D">
        <w:rPr>
          <w:rFonts w:ascii="Times New Roman" w:hAnsi="Times New Roman" w:cs="Times New Roman"/>
          <w:sz w:val="24"/>
          <w:szCs w:val="24"/>
        </w:rPr>
        <w:t xml:space="preserve">engaging in </w:t>
      </w:r>
      <w:r w:rsidR="00F73234">
        <w:rPr>
          <w:rFonts w:ascii="Times New Roman" w:hAnsi="Times New Roman" w:cs="Times New Roman"/>
          <w:sz w:val="24"/>
          <w:szCs w:val="24"/>
        </w:rPr>
        <w:t>“</w:t>
      </w:r>
      <w:r w:rsidR="00CC235D" w:rsidRPr="00CC235D">
        <w:rPr>
          <w:rFonts w:ascii="Times New Roman" w:hAnsi="Times New Roman" w:cs="Times New Roman"/>
          <w:sz w:val="24"/>
          <w:szCs w:val="24"/>
        </w:rPr>
        <w:t>anchoring,</w:t>
      </w:r>
      <w:r w:rsidR="00FB4E7B">
        <w:rPr>
          <w:rFonts w:ascii="Times New Roman" w:hAnsi="Times New Roman" w:cs="Times New Roman"/>
          <w:sz w:val="24"/>
          <w:szCs w:val="24"/>
        </w:rPr>
        <w:t>”</w:t>
      </w:r>
      <w:r w:rsidR="00CC235D" w:rsidRPr="00CC235D">
        <w:rPr>
          <w:rFonts w:ascii="Times New Roman" w:hAnsi="Times New Roman" w:cs="Times New Roman"/>
          <w:sz w:val="24"/>
          <w:szCs w:val="24"/>
        </w:rPr>
        <w:t xml:space="preserve"> i.e., the suggestion of a </w:t>
      </w:r>
      <w:r w:rsidR="00FB4E7B">
        <w:rPr>
          <w:rFonts w:ascii="Times New Roman" w:hAnsi="Times New Roman" w:cs="Times New Roman"/>
          <w:sz w:val="24"/>
          <w:szCs w:val="24"/>
        </w:rPr>
        <w:t>specific</w:t>
      </w:r>
      <w:r w:rsidR="00CC235D" w:rsidRPr="00CC235D">
        <w:rPr>
          <w:rFonts w:ascii="Times New Roman" w:hAnsi="Times New Roman" w:cs="Times New Roman"/>
          <w:sz w:val="24"/>
          <w:szCs w:val="24"/>
        </w:rPr>
        <w:t xml:space="preserve"> figure for pain and suffering damages to the jury during summation</w:t>
      </w:r>
      <w:r w:rsidR="00092C11">
        <w:rPr>
          <w:rFonts w:ascii="Times New Roman" w:hAnsi="Times New Roman" w:cs="Times New Roman"/>
          <w:sz w:val="24"/>
          <w:szCs w:val="24"/>
        </w:rPr>
        <w:t xml:space="preserve">; (2) </w:t>
      </w:r>
      <w:r w:rsidR="00E12ACD">
        <w:rPr>
          <w:rFonts w:ascii="Times New Roman" w:hAnsi="Times New Roman" w:cs="Times New Roman"/>
          <w:sz w:val="24"/>
          <w:szCs w:val="24"/>
        </w:rPr>
        <w:t xml:space="preserve">from engaging in </w:t>
      </w:r>
      <w:r w:rsidR="00E12ACD" w:rsidRPr="00682FE1">
        <w:rPr>
          <w:rFonts w:ascii="Times New Roman" w:hAnsi="Times New Roman" w:cs="Times New Roman"/>
          <w:i/>
          <w:iCs/>
          <w:sz w:val="24"/>
          <w:szCs w:val="24"/>
        </w:rPr>
        <w:t>unsubstantiated</w:t>
      </w:r>
      <w:r w:rsidR="00E12ACD">
        <w:rPr>
          <w:rFonts w:ascii="Times New Roman" w:hAnsi="Times New Roman" w:cs="Times New Roman"/>
          <w:sz w:val="24"/>
          <w:szCs w:val="24"/>
        </w:rPr>
        <w:t xml:space="preserve"> anchoring, i.e., the drawing of inappropriate and irrelevant analogies by an officer of the court to guide the jury’s determination of the pain and suffering award</w:t>
      </w:r>
      <w:r w:rsidR="00092C11">
        <w:rPr>
          <w:rFonts w:ascii="Times New Roman" w:hAnsi="Times New Roman" w:cs="Times New Roman"/>
          <w:sz w:val="24"/>
          <w:szCs w:val="24"/>
        </w:rPr>
        <w:t>;</w:t>
      </w:r>
      <w:r w:rsidR="00FB4E7B">
        <w:rPr>
          <w:rFonts w:ascii="Times New Roman" w:hAnsi="Times New Roman" w:cs="Times New Roman"/>
          <w:sz w:val="24"/>
          <w:szCs w:val="24"/>
        </w:rPr>
        <w:t xml:space="preserve"> </w:t>
      </w:r>
      <w:r w:rsidR="00157616">
        <w:rPr>
          <w:rFonts w:ascii="Times New Roman" w:hAnsi="Times New Roman" w:cs="Times New Roman"/>
          <w:sz w:val="24"/>
          <w:szCs w:val="24"/>
        </w:rPr>
        <w:t>and (</w:t>
      </w:r>
      <w:r w:rsidR="00EC7011">
        <w:rPr>
          <w:rFonts w:ascii="Times New Roman" w:hAnsi="Times New Roman" w:cs="Times New Roman"/>
          <w:sz w:val="24"/>
          <w:szCs w:val="24"/>
        </w:rPr>
        <w:t>3</w:t>
      </w:r>
      <w:r w:rsidR="00157616">
        <w:rPr>
          <w:rFonts w:ascii="Times New Roman" w:hAnsi="Times New Roman" w:cs="Times New Roman"/>
          <w:sz w:val="24"/>
          <w:szCs w:val="24"/>
        </w:rPr>
        <w:t xml:space="preserve">) </w:t>
      </w:r>
      <w:r w:rsidR="00690340">
        <w:rPr>
          <w:rFonts w:ascii="Times New Roman" w:hAnsi="Times New Roman" w:cs="Times New Roman"/>
          <w:sz w:val="24"/>
          <w:szCs w:val="24"/>
        </w:rPr>
        <w:t>proffering a “time unit basis” upon which to calculate damages at any time outside of summation</w:t>
      </w:r>
      <w:r w:rsidR="00F73234">
        <w:rPr>
          <w:rFonts w:ascii="Times New Roman" w:hAnsi="Times New Roman" w:cs="Times New Roman"/>
          <w:sz w:val="24"/>
          <w:szCs w:val="24"/>
        </w:rPr>
        <w:t>.</w:t>
      </w:r>
    </w:p>
    <w:p w14:paraId="03E20CBA" w14:textId="77777777" w:rsidR="00682FE1" w:rsidRDefault="00682FE1" w:rsidP="00682FE1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72929373"/>
      <w:r w:rsidRPr="00E00077">
        <w:rPr>
          <w:rFonts w:ascii="Times New Roman" w:hAnsi="Times New Roman" w:cs="Times New Roman"/>
          <w:sz w:val="24"/>
          <w:szCs w:val="24"/>
          <w:u w:val="single"/>
        </w:rPr>
        <w:t>ARGUMENT</w:t>
      </w:r>
    </w:p>
    <w:p w14:paraId="17D72F20" w14:textId="3DEBCC37" w:rsidR="002246E1" w:rsidRPr="002246E1" w:rsidRDefault="002246E1" w:rsidP="00682FE1">
      <w:pPr>
        <w:keepNext/>
        <w:spacing w:line="240" w:lineRule="auto"/>
        <w:contextualSpacing/>
        <w:jc w:val="center"/>
        <w:rPr>
          <w:rFonts w:ascii="Times New Roman" w:hAnsi="Times New Roman"/>
          <w:kern w:val="0"/>
          <w:sz w:val="24"/>
          <w:u w:val="single"/>
          <w14:ligatures w14:val="none"/>
        </w:rPr>
      </w:pPr>
      <w:r w:rsidRPr="002246E1">
        <w:rPr>
          <w:rFonts w:ascii="Times New Roman" w:hAnsi="Times New Roman"/>
          <w:kern w:val="0"/>
          <w:sz w:val="24"/>
          <w:u w:val="single"/>
          <w14:ligatures w14:val="none"/>
        </w:rPr>
        <w:t>POINT I</w:t>
      </w:r>
    </w:p>
    <w:p w14:paraId="7A3E399F" w14:textId="77777777" w:rsidR="002246E1" w:rsidRDefault="002246E1" w:rsidP="00682FE1">
      <w:pPr>
        <w:keepNext/>
        <w:spacing w:line="240" w:lineRule="auto"/>
        <w:contextualSpacing/>
        <w:jc w:val="center"/>
        <w:rPr>
          <w:rFonts w:ascii="Times New Roman" w:hAnsi="Times New Roman"/>
          <w:kern w:val="0"/>
          <w:sz w:val="24"/>
          <w14:ligatures w14:val="none"/>
        </w:rPr>
      </w:pPr>
    </w:p>
    <w:p w14:paraId="0EA1DA83" w14:textId="3AA173EE" w:rsidR="00682FE1" w:rsidRPr="002246E1" w:rsidRDefault="00774153" w:rsidP="00682FE1">
      <w:pPr>
        <w:keepNext/>
        <w:spacing w:line="240" w:lineRule="auto"/>
        <w:contextualSpacing/>
        <w:jc w:val="center"/>
        <w:rPr>
          <w:rFonts w:ascii="Times New Roman" w:hAnsi="Times New Roman"/>
          <w:kern w:val="0"/>
          <w:sz w:val="24"/>
          <w:u w:val="single"/>
          <w14:ligatures w14:val="none"/>
        </w:rPr>
      </w:pPr>
      <w:r>
        <w:rPr>
          <w:rFonts w:ascii="Times New Roman" w:hAnsi="Times New Roman"/>
          <w:kern w:val="0"/>
          <w:sz w:val="24"/>
          <w14:ligatures w14:val="none"/>
        </w:rPr>
        <w:t>SUGGESTING</w:t>
      </w:r>
      <w:r w:rsidR="00682FE1">
        <w:rPr>
          <w:rFonts w:ascii="Times New Roman" w:hAnsi="Times New Roman"/>
          <w:kern w:val="0"/>
          <w:sz w:val="24"/>
          <w14:ligatures w14:val="none"/>
        </w:rPr>
        <w:t xml:space="preserve"> </w:t>
      </w:r>
      <w:r w:rsidR="001605B0">
        <w:rPr>
          <w:rFonts w:ascii="Times New Roman" w:hAnsi="Times New Roman"/>
          <w:kern w:val="0"/>
          <w:sz w:val="24"/>
          <w14:ligatures w14:val="none"/>
        </w:rPr>
        <w:t>SPECIFIC</w:t>
      </w:r>
      <w:r w:rsidR="00682FE1">
        <w:rPr>
          <w:rFonts w:ascii="Times New Roman" w:hAnsi="Times New Roman"/>
          <w:kern w:val="0"/>
          <w:sz w:val="24"/>
          <w14:ligatures w14:val="none"/>
        </w:rPr>
        <w:t xml:space="preserve"> AMOUNTS FOR PAIN AND SUFFERING TO THE JURY IN ONE’S CAPACITY AS AN OFFICER OF THE COURT</w:t>
      </w:r>
      <w:r w:rsidR="002246E1">
        <w:rPr>
          <w:rFonts w:ascii="Times New Roman" w:hAnsi="Times New Roman"/>
          <w:kern w:val="0"/>
          <w:sz w:val="24"/>
          <w14:ligatures w14:val="none"/>
        </w:rPr>
        <w:t xml:space="preserve"> </w:t>
      </w:r>
      <w:r w:rsidR="002246E1" w:rsidRPr="00774153">
        <w:rPr>
          <w:rFonts w:ascii="Times New Roman" w:hAnsi="Times New Roman"/>
          <w:kern w:val="0"/>
          <w:sz w:val="24"/>
          <w14:ligatures w14:val="none"/>
        </w:rPr>
        <w:t>(</w:t>
      </w:r>
      <w:r w:rsidR="001605B0">
        <w:rPr>
          <w:rFonts w:ascii="Times New Roman" w:hAnsi="Times New Roman"/>
          <w:kern w:val="0"/>
          <w:sz w:val="24"/>
          <w14:ligatures w14:val="none"/>
        </w:rPr>
        <w:t>“</w:t>
      </w:r>
      <w:r w:rsidR="002246E1" w:rsidRPr="001766C4">
        <w:rPr>
          <w:rFonts w:ascii="Times New Roman" w:hAnsi="Times New Roman"/>
          <w:kern w:val="0"/>
          <w:sz w:val="24"/>
          <w14:ligatures w14:val="none"/>
        </w:rPr>
        <w:t>ANCHORING</w:t>
      </w:r>
      <w:r w:rsidR="001605B0" w:rsidRPr="001766C4">
        <w:rPr>
          <w:rFonts w:ascii="Times New Roman" w:hAnsi="Times New Roman"/>
          <w:kern w:val="0"/>
          <w:sz w:val="24"/>
          <w14:ligatures w14:val="none"/>
        </w:rPr>
        <w:t>”</w:t>
      </w:r>
      <w:r w:rsidR="001766C4" w:rsidRPr="001766C4">
        <w:rPr>
          <w:rFonts w:ascii="Times New Roman" w:hAnsi="Times New Roman"/>
          <w:kern w:val="0"/>
          <w:sz w:val="24"/>
          <w14:ligatures w14:val="none"/>
        </w:rPr>
        <w:t>)</w:t>
      </w:r>
      <w:r w:rsidR="00682FE1" w:rsidRPr="001766C4">
        <w:rPr>
          <w:rFonts w:ascii="Times New Roman" w:hAnsi="Times New Roman"/>
          <w:kern w:val="0"/>
          <w:sz w:val="24"/>
          <w14:ligatures w14:val="none"/>
        </w:rPr>
        <w:t xml:space="preserve"> IS</w:t>
      </w:r>
      <w:r w:rsidR="00682FE1" w:rsidRPr="002246E1">
        <w:rPr>
          <w:rFonts w:ascii="Times New Roman" w:hAnsi="Times New Roman"/>
          <w:kern w:val="0"/>
          <w:sz w:val="24"/>
          <w:u w:val="single"/>
          <w14:ligatures w14:val="none"/>
        </w:rPr>
        <w:t xml:space="preserve"> </w:t>
      </w:r>
      <w:r w:rsidR="001766C4">
        <w:rPr>
          <w:rFonts w:ascii="Times New Roman" w:hAnsi="Times New Roman"/>
          <w:kern w:val="0"/>
          <w:sz w:val="24"/>
          <w:u w:val="single"/>
          <w14:ligatures w14:val="none"/>
        </w:rPr>
        <w:t>SPECULATIVE</w:t>
      </w:r>
      <w:r w:rsidR="008B7083">
        <w:rPr>
          <w:rFonts w:ascii="Times New Roman" w:hAnsi="Times New Roman"/>
          <w:kern w:val="0"/>
          <w:sz w:val="24"/>
          <w:u w:val="single"/>
          <w14:ligatures w14:val="none"/>
        </w:rPr>
        <w:t>, INTENTIONALLY MISLEADING, AND</w:t>
      </w:r>
      <w:r w:rsidR="00682FE1" w:rsidRPr="002246E1">
        <w:rPr>
          <w:rFonts w:ascii="Times New Roman" w:hAnsi="Times New Roman"/>
          <w:kern w:val="0"/>
          <w:sz w:val="24"/>
          <w:u w:val="single"/>
          <w14:ligatures w14:val="none"/>
        </w:rPr>
        <w:t xml:space="preserve"> IMPROPER</w:t>
      </w:r>
    </w:p>
    <w:p w14:paraId="6F53DC32" w14:textId="77777777" w:rsidR="00682FE1" w:rsidRDefault="00682FE1" w:rsidP="000322C3">
      <w:pPr>
        <w:spacing w:after="0" w:line="240" w:lineRule="auto"/>
        <w:contextualSpacing/>
        <w:jc w:val="both"/>
        <w:rPr>
          <w:rFonts w:ascii="Times New Roman" w:hAnsi="Times New Roman"/>
          <w:kern w:val="0"/>
          <w:sz w:val="24"/>
          <w14:ligatures w14:val="none"/>
        </w:rPr>
      </w:pPr>
    </w:p>
    <w:p w14:paraId="50853F07" w14:textId="75A9F97B" w:rsidR="00D80730" w:rsidRDefault="00D80730" w:rsidP="00807212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“A</w:t>
      </w:r>
      <w:r w:rsidR="00711F16" w:rsidRPr="00711F1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nchoring” is the process by which an attorney </w:t>
      </w:r>
      <w:proofErr w:type="gramStart"/>
      <w:r w:rsidR="001477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makes referenc</w:t>
      </w:r>
      <w:r w:rsidR="00296F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proofErr w:type="gramEnd"/>
      <w:r w:rsidR="00296F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to a specific dollar amount that the attorney believes to be appropriate compensation for any element of damage that is sought to be recovered in the action. </w:t>
      </w:r>
      <w:r w:rsidR="00C061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00DB1A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courts</w:t>
      </w:r>
      <w:r w:rsidR="00C061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New Jersey </w:t>
      </w:r>
      <w:r w:rsidR="00DB1A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have</w:t>
      </w:r>
      <w:r w:rsidR="00C061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long recognized this practice for </w:t>
      </w:r>
      <w:r w:rsidR="008069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precisely </w:t>
      </w:r>
      <w:r w:rsidR="00C061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what it is</w:t>
      </w:r>
      <w:r w:rsidR="005D4D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a “subtle appeal to the </w:t>
      </w:r>
      <w:r w:rsidR="005D36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‘golden rule,’ </w:t>
      </w:r>
      <w:r w:rsidR="00C8459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i.e.</w:t>
      </w:r>
      <w:r w:rsidR="00C845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that the members of the jury </w:t>
      </w:r>
      <w:r w:rsidR="007553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consider </w:t>
      </w:r>
      <w:r w:rsidR="00B618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what one day of pain and suffering </w:t>
      </w:r>
      <w:r w:rsidR="00363C8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or, conversely its avoidance, would be worth to them,” and have, for this reason, </w:t>
      </w:r>
      <w:r w:rsidR="002247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have</w:t>
      </w:r>
      <w:r w:rsidR="007216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long precluded attorneys from engaging in it. </w:t>
      </w:r>
      <w:r w:rsidR="0072168A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Henker v. </w:t>
      </w:r>
      <w:proofErr w:type="spellStart"/>
      <w:r w:rsidR="0072168A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Preybylowski</w:t>
      </w:r>
      <w:proofErr w:type="spellEnd"/>
      <w:r w:rsidR="007216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AB13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216 N.J. Super 513, 519 (App. Div. </w:t>
      </w:r>
      <w:r w:rsidR="00236B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1987</w:t>
      </w:r>
      <w:r w:rsidR="00DB1A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(quoting </w:t>
      </w:r>
      <w:r w:rsidR="00807212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Cox v. Valley Fair Corp.</w:t>
      </w:r>
      <w:r w:rsidR="008072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EE26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83 N.J. 381</w:t>
      </w:r>
      <w:r w:rsidR="00384E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385</w:t>
      </w:r>
      <w:r w:rsidR="00EE26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(1980)</w:t>
      </w:r>
      <w:r w:rsidR="00715A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6A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[</w:t>
      </w:r>
      <w:r w:rsidR="00715A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partially superseded by statute; </w:t>
      </w:r>
      <w:r w:rsidR="00715AB0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see</w:t>
      </w:r>
      <w:r w:rsidR="00715A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</w:t>
      </w:r>
      <w:r w:rsidR="00206A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1:7-1(b)]</w:t>
      </w:r>
      <w:r w:rsidR="00C320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206A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206A4D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also</w:t>
      </w:r>
      <w:r w:rsidR="00206A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06A4D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see</w:t>
      </w:r>
      <w:r w:rsidR="00C320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26524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Botta v. Brunner</w:t>
      </w:r>
      <w:r w:rsidR="009265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26 N.</w:t>
      </w:r>
      <w:r w:rsidR="00D351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</w:t>
      </w:r>
      <w:r w:rsidR="0092652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82</w:t>
      </w:r>
      <w:r w:rsidR="000C5E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101 (1958) (“</w:t>
      </w:r>
      <w:r w:rsidR="006001AF" w:rsidRPr="006001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If plaintiff's counsel is permitted to make such valuation suggestions to the jury, justice cannot be administered fairly in the trial of this type of case</w:t>
      </w:r>
      <w:r w:rsidR="006001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”).</w:t>
      </w:r>
      <w:r w:rsidR="004710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5479F45" w14:textId="32C4A523" w:rsidR="00D73670" w:rsidRDefault="008E66CD" w:rsidP="002408A0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New Jersey Court Rule 1:7-1(b)</w:t>
      </w:r>
      <w:r w:rsidR="00A47C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which governs closing arguments</w:t>
      </w:r>
      <w:r w:rsidR="006D39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2408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51E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permits </w:t>
      </w:r>
      <w:r w:rsidR="008D35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counsel to </w:t>
      </w:r>
      <w:r w:rsidR="00C611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connect</w:t>
      </w:r>
      <w:r w:rsidR="00CD12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91B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damages calculations to “units of time” by suggesting that the plaintiff should be compensated for the number of days, or weeks, or years that they </w:t>
      </w:r>
      <w:r w:rsidR="00F35D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will</w:t>
      </w:r>
      <w:r w:rsidR="00991B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experience pain and suffering</w:t>
      </w:r>
      <w:r w:rsidR="002408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="002408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 long as</w:t>
      </w:r>
      <w:proofErr w:type="gramEnd"/>
      <w:r w:rsidR="002408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they do so “without reference to a specific sum</w:t>
      </w:r>
      <w:r w:rsidR="001D2E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2408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  <w:r w:rsidR="001D2E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2EEC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See</w:t>
      </w:r>
      <w:r w:rsidR="001D2E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2EEC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Friedman v. C &amp; S Car Service</w:t>
      </w:r>
      <w:r w:rsidR="001D2E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108 N.J. 72, 77</w:t>
      </w:r>
      <w:r w:rsidR="003356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-78 </w:t>
      </w:r>
      <w:r w:rsidR="001D2E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(1987)</w:t>
      </w:r>
      <w:r w:rsidR="003356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1F32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1F32B5" w:rsidRPr="001F32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time-unit rule lends an aura of rationality to the determination of damages for non-economic losses</w:t>
      </w:r>
      <w:r w:rsidR="001F32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”).</w:t>
      </w:r>
      <w:r w:rsidR="00717D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 so doing, </w:t>
      </w:r>
      <w:r w:rsidR="00DD2C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it</w:t>
      </w:r>
      <w:r w:rsidR="00717D8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C0E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partially overturn</w:t>
      </w:r>
      <w:r w:rsidR="00A018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FC0E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 holding in </w:t>
      </w:r>
      <w:r w:rsidR="00FC0E23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Botta</w:t>
      </w:r>
      <w:r w:rsidR="00FC0E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by relaxing </w:t>
      </w:r>
      <w:r w:rsidR="00DD2C6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historically</w:t>
      </w:r>
      <w:r w:rsidR="00FC0E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strict prohibition </w:t>
      </w:r>
      <w:r w:rsidR="00855F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against such arguments. </w:t>
      </w:r>
      <w:r w:rsidR="00C4735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Notwithstanding </w:t>
      </w:r>
      <w:r w:rsidR="00C138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this limited leeway,</w:t>
      </w:r>
      <w:r w:rsidR="008A26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however,</w:t>
      </w:r>
      <w:r w:rsidR="00C138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E07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Rule 1:7-1(b) </w:t>
      </w:r>
      <w:r w:rsidR="00531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“continues to prohibit </w:t>
      </w:r>
      <w:r w:rsidR="00531A3B" w:rsidRPr="00A0181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any suggestion by counsel</w:t>
      </w:r>
      <w:r w:rsidR="00531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specific monetary amounts either on a lump sum or time-unit basis”</w:t>
      </w:r>
      <w:r w:rsidR="00552A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</w:t>
      </w:r>
      <w:r w:rsidR="004F73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non-economic damages</w:t>
      </w:r>
      <w:r w:rsidR="00552A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531A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31A3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Friedman v. C &amp;</w:t>
      </w:r>
      <w:r w:rsidR="00BD0DED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="00531A3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S Car Service</w:t>
      </w:r>
      <w:r w:rsidR="00BD0D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108 N.J. 72, </w:t>
      </w:r>
      <w:r w:rsidR="009800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77 n.3 (1987)</w:t>
      </w:r>
      <w:r w:rsidR="00A018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(emphasis added)</w:t>
      </w:r>
      <w:r w:rsidR="00702F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C848AD">
        <w:rPr>
          <w:rStyle w:val="FootnoteReference"/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footnoteReference w:id="1"/>
      </w:r>
      <w:r w:rsidR="00702F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04F4158" w14:textId="77777777" w:rsidR="00EC7011" w:rsidRDefault="00D73670" w:rsidP="00EC7011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</w:t>
      </w:r>
      <w:r w:rsidR="00372F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Supreme</w:t>
      </w:r>
      <w:r w:rsidR="000421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Court</w:t>
      </w:r>
      <w:r w:rsidR="007A13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New Jersey</w:t>
      </w:r>
      <w:r w:rsidR="00372F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bases its continued preclusion of this practice upon its</w:t>
      </w:r>
      <w:r w:rsidR="000421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clear-eyed recognition </w:t>
      </w:r>
      <w:r w:rsidR="00AC35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that fixing a monetary value for an individual’s pain and suffering is</w:t>
      </w:r>
      <w:r w:rsidR="00991A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“intrinsically</w:t>
      </w:r>
      <w:r w:rsidR="005B25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intractably subjective” and </w:t>
      </w:r>
      <w:r w:rsidR="00AC4F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“speculative</w:t>
      </w:r>
      <w:r w:rsidR="00AC353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.”</w:t>
      </w:r>
      <w:r w:rsidR="007A281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31790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Dehanes</w:t>
      </w:r>
      <w:proofErr w:type="spellEnd"/>
      <w:r w:rsidR="00431790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 v. Rothman</w:t>
      </w:r>
      <w:r w:rsidR="004317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605C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158 N.J. 90, </w:t>
      </w:r>
      <w:r w:rsidR="00A859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97 (1999) (</w:t>
      </w:r>
      <w:r w:rsidR="001872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permitting litigants to </w:t>
      </w:r>
      <w:r w:rsidR="00B205C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aggregate economic damages</w:t>
      </w:r>
      <w:r w:rsidR="003A62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provided that the amounts had been established by competent expert </w:t>
      </w:r>
      <w:proofErr w:type="gramStart"/>
      <w:r w:rsidR="003A62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testimony, but</w:t>
      </w:r>
      <w:proofErr w:type="gramEnd"/>
      <w:r w:rsidR="003A62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15C5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affirming the Court’s longstanding prohibition against doing so </w:t>
      </w:r>
      <w:r w:rsidR="00724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 pain and suffering awards</w:t>
      </w:r>
      <w:r w:rsidR="004B63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1951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715E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669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 the Court’s words</w:t>
      </w:r>
      <w:r w:rsidR="00EC70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“</w:t>
      </w:r>
      <w:r w:rsidR="00F32B15" w:rsidRPr="00F32B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Some losses in life cannot be measured in dollars and cents. No expert can properly aid a jury in determining what is just </w:t>
      </w:r>
      <w:r w:rsidR="00EC70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</w:t>
      </w:r>
      <w:r w:rsidR="00F32B15" w:rsidRPr="00F32B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ompensation for non-economic </w:t>
      </w:r>
      <w:proofErr w:type="gramStart"/>
      <w:r w:rsidR="00F32B15" w:rsidRPr="00F32B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damages</w:t>
      </w:r>
      <w:proofErr w:type="gramEnd"/>
      <w:r w:rsidR="00F32B15" w:rsidRPr="00F32B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such as pain and suffering. </w:t>
      </w:r>
      <w:r w:rsidR="00EC70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. </w:t>
      </w:r>
      <w:r w:rsidR="00F32B15" w:rsidRPr="00F32B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value of pain and suffering is simply beyond the reach of science</w:t>
      </w:r>
      <w:r w:rsidR="007C78F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EC70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” </w:t>
      </w:r>
      <w:r w:rsidR="00F36644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Id.</w:t>
      </w:r>
      <w:r w:rsidR="00F366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E0D0181" w14:textId="392FF824" w:rsidR="00F36644" w:rsidRDefault="00152122" w:rsidP="00EC7011">
      <w:pPr>
        <w:spacing w:after="0" w:line="480" w:lineRule="auto"/>
        <w:ind w:firstLine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Given this “intangible quality</w:t>
      </w:r>
      <w:r w:rsidR="00A87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” inherent in pain and suffering damages, which </w:t>
      </w:r>
      <w:r w:rsidR="00E569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thwarts</w:t>
      </w:r>
      <w:r w:rsidR="000057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068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any kind of analysis with</w:t>
      </w:r>
      <w:r w:rsidR="009566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</w:t>
      </w:r>
      <w:r w:rsidR="00F068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reasonable degree of scientific certainty</w:t>
      </w:r>
      <w:r w:rsidR="00F677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A14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BA1479" w:rsidRPr="00BA14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 attorney's discoursing on a specific monetary amount </w:t>
      </w:r>
      <w:r w:rsidR="00BA14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[is]</w:t>
      </w:r>
      <w:r w:rsidR="00BA1479" w:rsidRPr="00BA14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nothing more than sheer speculation and </w:t>
      </w:r>
      <w:proofErr w:type="spellStart"/>
      <w:r w:rsidR="00BA1479" w:rsidRPr="00BA14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possesse</w:t>
      </w:r>
      <w:proofErr w:type="spellEnd"/>
      <w:r w:rsidR="009566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[s]</w:t>
      </w:r>
      <w:r w:rsidR="00BA1479" w:rsidRPr="00BA14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serious capacity for misleading the jury by instilling in the minds of the </w:t>
      </w:r>
      <w:proofErr w:type="gramStart"/>
      <w:r w:rsidR="00BA1479" w:rsidRPr="00BA14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jurors</w:t>
      </w:r>
      <w:proofErr w:type="gramEnd"/>
      <w:r w:rsidR="00BA1479" w:rsidRPr="00BA14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impressions, figures and amounts not founded or appearing in the evidence."</w:t>
      </w:r>
      <w:r w:rsidR="009566A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A391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Brodsky v. Grinnell Haulers, Inc.</w:t>
      </w:r>
      <w:r w:rsidR="008A39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A06A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181 N.J. 102, 125 (2004) (quoting </w:t>
      </w:r>
      <w:r w:rsidR="00A06ABD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Botta</w:t>
      </w:r>
      <w:r w:rsidR="00A06AB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D829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26 N.J. at 99-100) (internal quotation marks omitted). </w:t>
      </w:r>
    </w:p>
    <w:p w14:paraId="13BD806B" w14:textId="31EC46F8" w:rsidR="007B4010" w:rsidRPr="00DF34D7" w:rsidRDefault="00FE325A" w:rsidP="00F36644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Despite </w:t>
      </w:r>
      <w:r w:rsidR="000C4D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Court’s </w:t>
      </w:r>
      <w:r w:rsidR="00EC70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longstanding </w:t>
      </w:r>
      <w:r w:rsidR="000C4D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policy </w:t>
      </w:r>
      <w:r w:rsidR="004E0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prohibiting the practice of anchoring, it is not </w:t>
      </w:r>
      <w:r w:rsidR="00C355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unheard of for attorneys to co</w:t>
      </w:r>
      <w:r w:rsidR="000B468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ntinue to improperly suggest dollar amounts for pain and suffering damages</w:t>
      </w:r>
      <w:r w:rsidR="006D24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hoping to </w:t>
      </w:r>
      <w:r w:rsidR="00F724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take refuge </w:t>
      </w:r>
      <w:r w:rsidR="00920C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from the consequences of their misconduct</w:t>
      </w:r>
      <w:r w:rsidR="000249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724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either in the “harmless error” doctrine or in the “broad latitude” afforded them during summation. </w:t>
      </w:r>
      <w:r w:rsidR="00F7247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See</w:t>
      </w:r>
      <w:r w:rsidR="00F724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7247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e.g.</w:t>
      </w:r>
      <w:r w:rsidR="00F724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6669F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Dolan v. Sea Transfer Corp.</w:t>
      </w:r>
      <w:r w:rsidR="000666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C224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398 N.J. Super. 313 (App. Div. 2008).</w:t>
      </w:r>
      <w:r w:rsidR="000249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4199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Thus, b</w:t>
      </w:r>
      <w:r w:rsidR="007B40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 this motion, defendant</w:t>
      </w:r>
      <w:r w:rsidR="0000709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seeks a</w:t>
      </w:r>
      <w:r w:rsidR="00F162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 Order </w:t>
      </w:r>
      <w:r w:rsidR="00384F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to pre-emptively emphasize that </w:t>
      </w:r>
      <w:r w:rsidR="002272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Court will not countenance </w:t>
      </w:r>
      <w:r w:rsidR="00384F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such </w:t>
      </w:r>
      <w:r w:rsidR="0022724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“unwarranted intrusion into the domain of the jury”</w:t>
      </w:r>
      <w:r w:rsidR="00A37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to permit all parties to tailor their presentations accordingly.</w:t>
      </w:r>
      <w:r w:rsidR="00DE358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F34D7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Brodsky</w:t>
      </w:r>
      <w:r w:rsidR="00DF34D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F90C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181 N.J. at 125 (internal citations and quotation marks omitted).</w:t>
      </w:r>
    </w:p>
    <w:bookmarkEnd w:id="0"/>
    <w:p w14:paraId="61E55144" w14:textId="3799B6AF" w:rsidR="002246E1" w:rsidRPr="002246E1" w:rsidRDefault="002246E1" w:rsidP="002246E1">
      <w:pPr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  <w14:ligatures w14:val="none"/>
        </w:rPr>
      </w:pPr>
      <w:r w:rsidRPr="002246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  <w14:ligatures w14:val="none"/>
        </w:rPr>
        <w:t>POINT II</w:t>
      </w:r>
    </w:p>
    <w:p w14:paraId="4B815096" w14:textId="30E2BBDF" w:rsidR="00C35C2B" w:rsidRDefault="00C35C2B" w:rsidP="00C35C2B">
      <w:pPr>
        <w:keepNext/>
        <w:spacing w:line="240" w:lineRule="auto"/>
        <w:contextualSpacing/>
        <w:jc w:val="center"/>
        <w:rPr>
          <w:rFonts w:ascii="Times New Roman" w:hAnsi="Times New Roman"/>
          <w:kern w:val="0"/>
          <w:sz w:val="24"/>
          <w14:ligatures w14:val="none"/>
        </w:rPr>
      </w:pPr>
      <w:r w:rsidRPr="00682FE1">
        <w:rPr>
          <w:rFonts w:ascii="Times New Roman" w:hAnsi="Times New Roman"/>
          <w:bCs/>
          <w:kern w:val="0"/>
          <w:sz w:val="24"/>
          <w:szCs w:val="24"/>
          <w14:ligatures w14:val="none"/>
        </w:rPr>
        <w:t>INJECTING IRRELEVANT AND IMPROPER ANALOGIES TO GUIDE THE</w:t>
      </w:r>
      <w:r>
        <w:rPr>
          <w:rFonts w:ascii="Times New Roman" w:hAnsi="Times New Roman"/>
          <w:bCs/>
          <w:kern w:val="0"/>
          <w:sz w:val="24"/>
          <w:szCs w:val="24"/>
          <w14:ligatures w14:val="none"/>
        </w:rPr>
        <w:t xml:space="preserve"> JURY’S</w:t>
      </w:r>
      <w:r w:rsidRPr="00682FE1">
        <w:rPr>
          <w:rFonts w:ascii="Times New Roman" w:hAnsi="Times New Roman"/>
          <w:bCs/>
          <w:kern w:val="0"/>
          <w:sz w:val="24"/>
          <w:szCs w:val="24"/>
          <w14:ligatures w14:val="none"/>
        </w:rPr>
        <w:t xml:space="preserve"> DETERMINATION OF NON-PECUNIARY DAMAGES</w:t>
      </w:r>
      <w:r>
        <w:rPr>
          <w:rFonts w:ascii="Times New Roman" w:hAnsi="Times New Roman"/>
          <w:kern w:val="0"/>
          <w:sz w:val="24"/>
          <w14:ligatures w14:val="none"/>
        </w:rPr>
        <w:t xml:space="preserve"> IN ONE’S CAPACITY AS AN </w:t>
      </w:r>
      <w:r w:rsidRPr="002246E1">
        <w:rPr>
          <w:rFonts w:ascii="Times New Roman" w:hAnsi="Times New Roman"/>
          <w:kern w:val="0"/>
          <w:sz w:val="24"/>
          <w14:ligatures w14:val="none"/>
        </w:rPr>
        <w:t xml:space="preserve">OFFICER OF THE COURT </w:t>
      </w:r>
      <w:r w:rsidR="002246E1" w:rsidRPr="002246E1">
        <w:rPr>
          <w:rFonts w:ascii="Times New Roman" w:hAnsi="Times New Roman"/>
          <w:kern w:val="0"/>
          <w:sz w:val="24"/>
          <w14:ligatures w14:val="none"/>
        </w:rPr>
        <w:t>(“</w:t>
      </w:r>
      <w:r w:rsidR="002246E1" w:rsidRPr="009E64C2">
        <w:rPr>
          <w:rFonts w:ascii="Times New Roman" w:hAnsi="Times New Roman"/>
          <w:i/>
          <w:iCs/>
          <w:kern w:val="0"/>
          <w:sz w:val="24"/>
          <w14:ligatures w14:val="none"/>
        </w:rPr>
        <w:t>UNSUBSTANTIATED</w:t>
      </w:r>
      <w:r w:rsidR="002246E1" w:rsidRPr="002246E1">
        <w:rPr>
          <w:rFonts w:ascii="Times New Roman" w:hAnsi="Times New Roman"/>
          <w:kern w:val="0"/>
          <w:sz w:val="24"/>
          <w14:ligatures w14:val="none"/>
        </w:rPr>
        <w:t xml:space="preserve">” ANCHORING) </w:t>
      </w:r>
      <w:r w:rsidRPr="002246E1">
        <w:rPr>
          <w:rFonts w:ascii="Times New Roman" w:hAnsi="Times New Roman"/>
          <w:kern w:val="0"/>
          <w:sz w:val="24"/>
          <w14:ligatures w14:val="none"/>
        </w:rPr>
        <w:t>IS BOTH</w:t>
      </w:r>
      <w:r w:rsidRPr="00C35C2B">
        <w:rPr>
          <w:rFonts w:ascii="Times New Roman" w:hAnsi="Times New Roman"/>
          <w:kern w:val="0"/>
          <w:sz w:val="24"/>
          <w:u w:val="single"/>
          <w14:ligatures w14:val="none"/>
        </w:rPr>
        <w:t xml:space="preserve"> INTENTIONALLY MISLEADING AND IMPROPER</w:t>
      </w:r>
      <w:r w:rsidR="00101186">
        <w:rPr>
          <w:rFonts w:ascii="Times New Roman" w:hAnsi="Times New Roman"/>
          <w:kern w:val="0"/>
          <w:sz w:val="24"/>
          <w:u w:val="single"/>
          <w14:ligatures w14:val="none"/>
        </w:rPr>
        <w:t xml:space="preserve"> AND MUST BE PROHIBITED</w:t>
      </w:r>
    </w:p>
    <w:p w14:paraId="00587D2A" w14:textId="77777777" w:rsidR="00C35C2B" w:rsidRPr="00C35C2B" w:rsidRDefault="00C35C2B" w:rsidP="002246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73532E53" w14:textId="77777777" w:rsidR="004D2E4D" w:rsidRDefault="00C35C2B" w:rsidP="00C35C2B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Another </w:t>
      </w:r>
      <w:r w:rsidR="002246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improper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summation practice that has been increasing in popularity with the plaintiff bar has been to </w:t>
      </w:r>
      <w:r w:rsidR="002246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anchor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 jury’s determination of the individual plaintiff’s pain and suffering by raising comparisons to</w:t>
      </w:r>
      <w:r w:rsidR="00CB444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A4CA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irrelevant benchmarks such as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246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priceless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pieces of art, </w:t>
      </w:r>
      <w:r w:rsidR="002246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salaries of premier athletes and CEOs, </w:t>
      </w:r>
      <w:r w:rsidR="00CD43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cost of elite fighter jets, </w:t>
      </w:r>
      <w:r w:rsidR="00260DE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$100 million contract disputes, </w:t>
      </w:r>
      <w:r w:rsidR="008D4B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</w:t>
      </w:r>
      <w:r w:rsidR="002246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annual federal budgets. </w:t>
      </w:r>
      <w:r w:rsidR="006634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Such</w:t>
      </w:r>
      <w:r w:rsidR="003246B3" w:rsidRPr="003246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figures have nothing to do with the determination of fair and just compensation for a plaintiff’s personal injuries – they are, on their face, simply untethered to any pain-and-suffering concept and instead pertain to the value assigned to extremely scarce property or labor by forces of supply and demand</w:t>
      </w:r>
      <w:r w:rsidR="003246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2CF5ABD3" w14:textId="0152E09A" w:rsidR="007E62EE" w:rsidRDefault="004D2E4D" w:rsidP="00C35C2B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The courts of other jurisdictions have recognized and appropriately limited this practice. In the seminal case of </w:t>
      </w:r>
      <w:r w:rsidRPr="002D048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Gregory v. Chohan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0969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No. 21-0017, 2023 WL 4035886 (Tex. June 16, 2023)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(Tex. June 16, 2023), the Texas Supreme Court set aside an exorbitant jury award of $39 million and ordered a new trial on damages. The </w:t>
      </w:r>
      <w:r w:rsidRPr="004D2E4D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Gregory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court </w:t>
      </w:r>
      <w:r w:rsidRPr="004D2E4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 that plaintiff’s counsel “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encourag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[ed] the jury to base an ostensibly compensatory award on improper considerations that have no connection to rational compensation” rather than “rationally connect[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ing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] the evidence to an 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amount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damages.” </w:t>
      </w:r>
      <w:r w:rsidRPr="00882C5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Id.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 *4. </w:t>
      </w:r>
      <w:r w:rsidR="00866A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Importantly, the </w:t>
      </w:r>
      <w:r w:rsidR="005D39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Texas justices</w:t>
      </w:r>
      <w:r w:rsidR="00866A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A0F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held</w:t>
      </w:r>
      <w:r w:rsidR="00866A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that </w:t>
      </w:r>
      <w:r w:rsidR="00FF4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counsel’s</w:t>
      </w:r>
      <w:r w:rsidR="005D39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66A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irrelevant analogies as to the cost of a $71 million Boeing F-18 fighter jet and a $186 million painting by Mark Rothko d</w:t>
      </w:r>
      <w:r w:rsidR="005D39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id</w:t>
      </w:r>
      <w:r w:rsidR="00866A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not bring jurors any closer to gaining a sense of how to compensate plaintiffs for their injuries. </w:t>
      </w:r>
      <w:r w:rsidR="005D397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Id.</w:t>
      </w:r>
      <w:r w:rsidR="005D39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 *17. </w:t>
      </w:r>
      <w:r w:rsidR="00C848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Instead</w:t>
      </w:r>
      <w:r w:rsidR="00FF4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9131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its “self-evident purpose” was “to get jurors to think about the appropriate damages award on a magnitude similar to the numbers offered, despite the lack of any rational connection between reasonable compensation and the anchors suggested.” </w:t>
      </w:r>
      <w:r w:rsidR="009131AD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Id.</w:t>
      </w:r>
      <w:r w:rsidR="009131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A0F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The Texas Supreme</w:t>
      </w:r>
      <w:r w:rsidR="002977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Court </w:t>
      </w:r>
      <w:r w:rsidR="00C848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concluded</w:t>
      </w:r>
      <w:r w:rsidR="002977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that it had an obligation to prevent </w:t>
      </w:r>
      <w:r w:rsidR="000B625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such</w:t>
      </w:r>
      <w:r w:rsidR="00597C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tactics</w:t>
      </w:r>
      <w:r w:rsidR="00C632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that like any other jury finding, an award of damages must be subject to meaningful evidentiary review. </w:t>
      </w:r>
      <w:r w:rsidR="00C63294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Id.</w:t>
      </w:r>
      <w:r w:rsidR="00C632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 *24.</w:t>
      </w:r>
      <w:r w:rsidR="00EB72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359B591" w14:textId="557FBACA" w:rsidR="00C848AD" w:rsidRDefault="00CA51EF" w:rsidP="00C848AD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Defendants move this Court to similarly recognize that </w:t>
      </w:r>
      <w:r w:rsidR="000846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such indirect comparisons </w:t>
      </w:r>
      <w:r w:rsidR="00A256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violate the same policy </w:t>
      </w:r>
      <w:r w:rsidR="00F13C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considerations that have moved it to repeatedly </w:t>
      </w:r>
      <w:r w:rsidR="00306B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prohibit</w:t>
      </w:r>
      <w:r w:rsidR="00F13C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attorneys from </w:t>
      </w:r>
      <w:r w:rsidR="0080503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suggesting</w:t>
      </w:r>
      <w:r w:rsidR="007530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specific monetary award for non-economic damages (</w:t>
      </w:r>
      <w:r w:rsidR="00753077" w:rsidRPr="00753077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see</w:t>
      </w:r>
      <w:r w:rsidR="007530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53077" w:rsidRPr="00753077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supra</w:t>
      </w:r>
      <w:r w:rsidR="007530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 Point I)</w:t>
      </w:r>
      <w:r w:rsidR="00C848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Because </w:t>
      </w:r>
      <w:r w:rsidR="00D846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this tactic is not only irrelevant and </w:t>
      </w:r>
      <w:proofErr w:type="gramStart"/>
      <w:r w:rsidR="00D846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prejudicial, but</w:t>
      </w:r>
      <w:proofErr w:type="gramEnd"/>
      <w:r w:rsidR="00D846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is specifically designed to inspire jurors to render excessive verdicts with no basis in common sense or the evidentiary record, it </w:t>
      </w:r>
      <w:r w:rsidR="00C848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should be precluded at the outset, instead of following an objection when the jury has already been poisoned by the comment. </w:t>
      </w:r>
    </w:p>
    <w:p w14:paraId="0E2DDD9C" w14:textId="77777777" w:rsidR="004D6340" w:rsidRDefault="004D6340">
      <w:pP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br w:type="page"/>
      </w:r>
    </w:p>
    <w:p w14:paraId="0046E2C1" w14:textId="0B491817" w:rsidR="009E64C2" w:rsidRPr="009E64C2" w:rsidRDefault="009E64C2" w:rsidP="009E64C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9E64C2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POINT I</w:t>
      </w:r>
      <w:r w:rsidR="004D6340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II</w:t>
      </w:r>
    </w:p>
    <w:p w14:paraId="53B0ACC2" w14:textId="77777777" w:rsidR="009E64C2" w:rsidRDefault="009E64C2" w:rsidP="009E64C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F86812" w14:textId="3A75C91A" w:rsidR="009E64C2" w:rsidRDefault="009E64C2" w:rsidP="009E64C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ANCHORING OF ANY KIND IS IMPROPER OUTSIDE OF 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SUMMATION, AND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IS </w:t>
      </w:r>
      <w:r w:rsidRPr="009E64C2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IMPERMISSIBLE DURING </w:t>
      </w:r>
      <w:r w:rsidRPr="009E64C2"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  <w14:ligatures w14:val="none"/>
        </w:rPr>
        <w:t>VOIR DIRE</w:t>
      </w:r>
      <w:r w:rsidRPr="009E64C2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 OR OPENINGS OR TRIAL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9AFFFCB" w14:textId="77777777" w:rsidR="009E64C2" w:rsidRPr="00CE5CA9" w:rsidRDefault="009E64C2" w:rsidP="009E64C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4E69E6" w14:textId="2173C681" w:rsidR="00966681" w:rsidRDefault="00E14306" w:rsidP="004D06B9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E1430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Lastly, </w:t>
      </w:r>
      <w:r w:rsidR="009703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Rule 1:7-1(b)</w:t>
      </w:r>
      <w:r w:rsidRPr="00CE5C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647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specifically only </w:t>
      </w:r>
      <w:r w:rsidRPr="00E14306">
        <w:rPr>
          <w:rFonts w:ascii="Times New Roman" w:eastAsia="Calibri" w:hAnsi="Times New Roman"/>
          <w:sz w:val="24"/>
          <w:szCs w:val="24"/>
        </w:rPr>
        <w:t xml:space="preserve">permits </w:t>
      </w:r>
      <w:r w:rsidR="00970361">
        <w:rPr>
          <w:rFonts w:ascii="Times New Roman" w:eastAsia="Calibri" w:hAnsi="Times New Roman"/>
          <w:sz w:val="24"/>
          <w:szCs w:val="24"/>
        </w:rPr>
        <w:t>unit-of-time arguments</w:t>
      </w:r>
      <w:r w:rsidRPr="00E14306">
        <w:rPr>
          <w:rFonts w:ascii="Times New Roman" w:eastAsia="Calibri" w:hAnsi="Times New Roman"/>
          <w:sz w:val="24"/>
          <w:szCs w:val="24"/>
        </w:rPr>
        <w:t xml:space="preserve"> during </w:t>
      </w:r>
      <w:r w:rsidR="00164718">
        <w:rPr>
          <w:rFonts w:ascii="Times New Roman" w:eastAsia="Calibri" w:hAnsi="Times New Roman"/>
          <w:sz w:val="24"/>
          <w:szCs w:val="24"/>
        </w:rPr>
        <w:t>summation</w:t>
      </w:r>
      <w:r w:rsidRPr="00E14306">
        <w:rPr>
          <w:rFonts w:ascii="Times New Roman" w:eastAsia="Calibri" w:hAnsi="Times New Roman"/>
          <w:sz w:val="24"/>
          <w:szCs w:val="24"/>
        </w:rPr>
        <w:t xml:space="preserve">, which means plaintiff’s counsel should not be permitted to </w:t>
      </w:r>
      <w:r w:rsidR="0017549A">
        <w:rPr>
          <w:rFonts w:ascii="Times New Roman" w:eastAsia="Calibri" w:hAnsi="Times New Roman"/>
          <w:sz w:val="24"/>
          <w:szCs w:val="24"/>
        </w:rPr>
        <w:t>broach the subject</w:t>
      </w:r>
      <w:r w:rsidRPr="00E14306">
        <w:rPr>
          <w:rFonts w:ascii="Times New Roman" w:eastAsia="Calibri" w:hAnsi="Times New Roman"/>
          <w:sz w:val="24"/>
          <w:szCs w:val="24"/>
        </w:rPr>
        <w:t xml:space="preserve"> during any pre-summation stage of trial (</w:t>
      </w:r>
      <w:proofErr w:type="spellStart"/>
      <w:r w:rsidRPr="00E14306">
        <w:rPr>
          <w:rFonts w:ascii="Times New Roman" w:eastAsia="Calibri" w:hAnsi="Times New Roman"/>
          <w:i/>
          <w:iCs/>
          <w:sz w:val="24"/>
          <w:szCs w:val="24"/>
        </w:rPr>
        <w:t>voir</w:t>
      </w:r>
      <w:proofErr w:type="spellEnd"/>
      <w:r w:rsidRPr="00E14306">
        <w:rPr>
          <w:rFonts w:ascii="Times New Roman" w:eastAsia="Calibri" w:hAnsi="Times New Roman"/>
          <w:i/>
          <w:iCs/>
          <w:sz w:val="24"/>
          <w:szCs w:val="24"/>
        </w:rPr>
        <w:t xml:space="preserve"> dire</w:t>
      </w:r>
      <w:r w:rsidRPr="00E14306">
        <w:rPr>
          <w:rFonts w:ascii="Times New Roman" w:eastAsia="Calibri" w:hAnsi="Times New Roman"/>
          <w:sz w:val="24"/>
          <w:szCs w:val="24"/>
        </w:rPr>
        <w:t xml:space="preserve">, opening remarks, witness examinations, etc.). As such, </w:t>
      </w:r>
      <w:r>
        <w:rPr>
          <w:rFonts w:ascii="Times New Roman" w:eastAsia="Calibri" w:hAnsi="Times New Roman"/>
          <w:sz w:val="24"/>
          <w:szCs w:val="24"/>
        </w:rPr>
        <w:t>defendant</w:t>
      </w:r>
      <w:r w:rsidRPr="00E14306">
        <w:rPr>
          <w:rFonts w:ascii="Times New Roman" w:eastAsia="Calibri" w:hAnsi="Times New Roman"/>
          <w:sz w:val="24"/>
          <w:szCs w:val="24"/>
        </w:rPr>
        <w:t xml:space="preserve"> pre-emptively objects to all pre-summation </w:t>
      </w:r>
      <w:r w:rsidR="00033ECA">
        <w:rPr>
          <w:rFonts w:ascii="Times New Roman" w:eastAsia="Calibri" w:hAnsi="Times New Roman"/>
          <w:sz w:val="24"/>
          <w:szCs w:val="24"/>
        </w:rPr>
        <w:t xml:space="preserve">attempts to suggest means and methods for calculating </w:t>
      </w:r>
      <w:r w:rsidR="00707DE3">
        <w:rPr>
          <w:rFonts w:ascii="Times New Roman" w:eastAsia="Calibri" w:hAnsi="Times New Roman"/>
          <w:sz w:val="24"/>
          <w:szCs w:val="24"/>
        </w:rPr>
        <w:t>non-economic damages, whether specific or otherwise,</w:t>
      </w:r>
      <w:r w:rsidRPr="00E14306">
        <w:rPr>
          <w:rFonts w:ascii="Times New Roman" w:eastAsia="Calibri" w:hAnsi="Times New Roman"/>
          <w:sz w:val="24"/>
          <w:szCs w:val="24"/>
        </w:rPr>
        <w:t xml:space="preserve"> and will seek a mistrial to the extent that plaintiff utilizes this tactic during any phase of trial preceding closing remarks</w:t>
      </w:r>
      <w:r w:rsidR="00820478">
        <w:rPr>
          <w:rFonts w:ascii="Times New Roman" w:eastAsia="Calibri" w:hAnsi="Times New Roman"/>
          <w:sz w:val="24"/>
          <w:szCs w:val="24"/>
        </w:rPr>
        <w:t>.</w:t>
      </w:r>
    </w:p>
    <w:p w14:paraId="17B1D53A" w14:textId="2DFA0995" w:rsidR="00CE5CA9" w:rsidRPr="00CE5CA9" w:rsidRDefault="00CE5CA9" w:rsidP="00EB724E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CE5C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CONCLUSION</w:t>
      </w:r>
    </w:p>
    <w:p w14:paraId="0624CDF7" w14:textId="5CD21CB2" w:rsidR="00454B1C" w:rsidRPr="00CE5CA9" w:rsidRDefault="00CE5CA9" w:rsidP="00CE5CA9">
      <w:pPr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C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For </w:t>
      </w:r>
      <w:proofErr w:type="gramStart"/>
      <w:r w:rsidRPr="00CE5C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all of</w:t>
      </w:r>
      <w:proofErr w:type="gramEnd"/>
      <w:r w:rsidRPr="00CE5C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 foregoing reasons, this Court should grant </w:t>
      </w:r>
      <w:r w:rsidRPr="00CE5C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 Order</w:t>
      </w:r>
      <w:r w:rsidRPr="00CE5C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91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granting the requested relief, and </w:t>
      </w:r>
      <w:r w:rsidRPr="00CE5C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awarding defendants such other and further relief as deemed just and appropriate.</w:t>
      </w:r>
      <w:r w:rsidR="00327F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27F95" w:rsidRPr="002C6B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Should the court decline, defendants intend to preserve this issue for appeal and hereby place their preemptive objection on the record and will seek a mistrial and related relief should plaintiff nevertheless resort to </w:t>
      </w:r>
      <w:r w:rsidR="00317A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any of the above improper</w:t>
      </w:r>
      <w:r w:rsidR="00327F95" w:rsidRPr="002C6B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17A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tactics</w:t>
      </w:r>
      <w:r w:rsidR="004D06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165F540" w14:textId="77777777" w:rsidR="00454B1C" w:rsidRPr="00454B1C" w:rsidRDefault="00454B1C" w:rsidP="00454B1C">
      <w:pPr>
        <w:spacing w:line="256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F7E595D" w14:textId="644E2216" w:rsidR="00454B1C" w:rsidRPr="00454B1C" w:rsidRDefault="00454B1C" w:rsidP="00454B1C">
      <w:pPr>
        <w:spacing w:line="24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>Dated:</w:t>
      </w: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 w:rsidR="0076182A" w:rsidRPr="0076182A">
        <w:rPr>
          <w:rFonts w:ascii="Times New Roman" w:eastAsia="Calibri" w:hAnsi="Times New Roman"/>
          <w:kern w:val="0"/>
          <w:sz w:val="24"/>
          <w:szCs w:val="24"/>
          <w:highlight w:val="yellow"/>
          <w14:ligatures w14:val="none"/>
        </w:rPr>
        <w:t>*****</w:t>
      </w: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>, New York</w:t>
      </w:r>
      <w:r w:rsidR="00CD022F"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 w:rsidR="00CD022F"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 w:rsidR="00CD022F"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  <w:t>Respectfully submitted,</w:t>
      </w:r>
    </w:p>
    <w:p w14:paraId="6D3718B4" w14:textId="14FB51E3" w:rsidR="00454B1C" w:rsidRPr="00454B1C" w:rsidRDefault="00454B1C" w:rsidP="00454B1C">
      <w:pPr>
        <w:spacing w:line="24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 w:rsidR="0076182A" w:rsidRPr="0076182A">
        <w:rPr>
          <w:rFonts w:ascii="Times New Roman" w:eastAsia="Calibri" w:hAnsi="Times New Roman"/>
          <w:kern w:val="0"/>
          <w:sz w:val="24"/>
          <w:szCs w:val="24"/>
          <w:highlight w:val="yellow"/>
          <w14:ligatures w14:val="none"/>
        </w:rPr>
        <w:t>*****</w:t>
      </w:r>
      <w:r w:rsidRPr="0076182A">
        <w:rPr>
          <w:rFonts w:ascii="Times New Roman" w:eastAsia="Calibri" w:hAnsi="Times New Roman"/>
          <w:kern w:val="0"/>
          <w:sz w:val="24"/>
          <w:szCs w:val="24"/>
          <w:highlight w:val="yellow"/>
          <w14:ligatures w14:val="none"/>
        </w:rPr>
        <w:t>,</w:t>
      </w: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2023</w:t>
      </w:r>
    </w:p>
    <w:p w14:paraId="75BBA77A" w14:textId="77777777" w:rsidR="00454B1C" w:rsidRPr="00454B1C" w:rsidRDefault="00454B1C" w:rsidP="00454B1C">
      <w:pPr>
        <w:spacing w:line="24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</w:t>
      </w:r>
    </w:p>
    <w:p w14:paraId="3B14D75A" w14:textId="77777777" w:rsidR="00454B1C" w:rsidRPr="00454B1C" w:rsidRDefault="00454B1C" w:rsidP="00454B1C">
      <w:pPr>
        <w:spacing w:line="24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  <w:t>_______________________</w:t>
      </w:r>
    </w:p>
    <w:p w14:paraId="56BB6026" w14:textId="4B9E07FC" w:rsidR="00454B1C" w:rsidRPr="00454B1C" w:rsidRDefault="00454B1C" w:rsidP="0076182A">
      <w:pPr>
        <w:spacing w:line="240" w:lineRule="auto"/>
        <w:contextualSpacing/>
        <w:rPr>
          <w:rFonts w:ascii="Times New Roman" w:eastAsia="Calibri" w:hAnsi="Times New Roman"/>
          <w:iCs/>
          <w:kern w:val="0"/>
          <w:sz w:val="24"/>
          <w:szCs w:val="24"/>
          <w14:ligatures w14:val="none"/>
        </w:rPr>
      </w:pP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</w:p>
    <w:p w14:paraId="6D6470F6" w14:textId="77777777" w:rsidR="00454B1C" w:rsidRPr="00454B1C" w:rsidRDefault="00454B1C" w:rsidP="00454B1C">
      <w:pPr>
        <w:spacing w:line="24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14E816E" w14:textId="77777777" w:rsidR="00454B1C" w:rsidRPr="00454B1C" w:rsidRDefault="00454B1C" w:rsidP="00454B1C">
      <w:pPr>
        <w:spacing w:line="24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7BC840BC" w14:textId="77777777" w:rsidR="00454B1C" w:rsidRPr="00454B1C" w:rsidRDefault="00454B1C" w:rsidP="00454B1C">
      <w:pPr>
        <w:spacing w:line="240" w:lineRule="auto"/>
        <w:contextualSpacing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9BE9358" w14:textId="4C685C17" w:rsidR="00454B1C" w:rsidRPr="00454B1C" w:rsidRDefault="00454B1C" w:rsidP="00454B1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1C">
        <w:rPr>
          <w:rFonts w:ascii="Times New Roman" w:eastAsia="Calibri" w:hAnsi="Times New Roman"/>
          <w:kern w:val="0"/>
          <w:sz w:val="24"/>
          <w:szCs w:val="24"/>
          <w14:ligatures w14:val="none"/>
        </w:rPr>
        <w:t>TO:</w:t>
      </w:r>
    </w:p>
    <w:sectPr w:rsidR="00454B1C" w:rsidRPr="00454B1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C416" w14:textId="77777777" w:rsidR="00471723" w:rsidRDefault="00471723" w:rsidP="00CE5CA9">
      <w:pPr>
        <w:spacing w:after="0" w:line="240" w:lineRule="auto"/>
      </w:pPr>
      <w:r>
        <w:separator/>
      </w:r>
    </w:p>
  </w:endnote>
  <w:endnote w:type="continuationSeparator" w:id="0">
    <w:p w14:paraId="1222FA34" w14:textId="77777777" w:rsidR="00471723" w:rsidRDefault="00471723" w:rsidP="00CE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07140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D60F53F" w14:textId="64838863" w:rsidR="000A3144" w:rsidRPr="000A3144" w:rsidRDefault="000A314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31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31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A31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A314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A314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AF8B04F" w14:textId="77777777" w:rsidR="000A3144" w:rsidRDefault="000A3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F954B" w14:textId="77777777" w:rsidR="00471723" w:rsidRDefault="00471723" w:rsidP="00CE5CA9">
      <w:pPr>
        <w:spacing w:after="0" w:line="240" w:lineRule="auto"/>
      </w:pPr>
      <w:r>
        <w:separator/>
      </w:r>
    </w:p>
  </w:footnote>
  <w:footnote w:type="continuationSeparator" w:id="0">
    <w:p w14:paraId="1D70B704" w14:textId="77777777" w:rsidR="00471723" w:rsidRDefault="00471723" w:rsidP="00CE5CA9">
      <w:pPr>
        <w:spacing w:after="0" w:line="240" w:lineRule="auto"/>
      </w:pPr>
      <w:r>
        <w:continuationSeparator/>
      </w:r>
    </w:p>
  </w:footnote>
  <w:footnote w:id="1">
    <w:p w14:paraId="6B138810" w14:textId="3DC6E965" w:rsidR="00C848AD" w:rsidRPr="00C848AD" w:rsidRDefault="00C848AD" w:rsidP="00C848A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Moreover, i</w:t>
      </w:r>
      <w:r w:rsidRPr="00C848AD">
        <w:t xml:space="preserve">t is black-letter law that counsel may not turn himself into an unsworn witness and place his credibility on the side of a party to vouch for witnesses or personal knowledge of facts in issue. </w:t>
      </w:r>
      <w:r w:rsidRPr="00C848AD">
        <w:rPr>
          <w:u w:val="single"/>
        </w:rPr>
        <w:t>See</w:t>
      </w:r>
      <w:r w:rsidRPr="00C848AD">
        <w:t xml:space="preserve"> </w:t>
      </w:r>
      <w:r w:rsidRPr="00C848AD">
        <w:rPr>
          <w:u w:val="single"/>
        </w:rPr>
        <w:t>Pierce v. Yaccarino</w:t>
      </w:r>
      <w:r w:rsidRPr="00C848AD">
        <w:t xml:space="preserve">, 72 N.J. Super 252, 260-63 (App. Div. 1962); </w:t>
      </w:r>
      <w:r w:rsidRPr="00C848AD">
        <w:rPr>
          <w:u w:val="single"/>
        </w:rPr>
        <w:t>see</w:t>
      </w:r>
      <w:r w:rsidRPr="00C848AD">
        <w:t xml:space="preserve"> </w:t>
      </w:r>
      <w:r w:rsidRPr="00C848AD">
        <w:rPr>
          <w:u w:val="single"/>
        </w:rPr>
        <w:t>generally</w:t>
      </w:r>
      <w:r w:rsidRPr="00C848AD">
        <w:t xml:space="preserve"> </w:t>
      </w:r>
      <w:r w:rsidRPr="00C848AD">
        <w:rPr>
          <w:u w:val="single"/>
        </w:rPr>
        <w:t>United States v. Young</w:t>
      </w:r>
      <w:r w:rsidRPr="00C848AD">
        <w:t xml:space="preserve">, 470 U.S. 1, 18-19 (1985). Hence, notwithstanding any permission afforded under Rule 1:7-1(b) to reference a proposed unit of time by which to calculate damages, defendant will object and seek a mistrial in response to any accompanying attempt by plaintiff’s counsel to personally “vouch” to the jury for a proposed time frame as a reasonable one, or one that their so-called expert legal experience tells them is appropriate, or </w:t>
      </w:r>
      <w:r>
        <w:t>any related arguments</w:t>
      </w:r>
      <w:r w:rsidRPr="00C848AD">
        <w:t>.</w:t>
      </w:r>
    </w:p>
    <w:p w14:paraId="4524278A" w14:textId="6757C519" w:rsidR="00C848AD" w:rsidRDefault="00C848A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07EE"/>
    <w:multiLevelType w:val="hybridMultilevel"/>
    <w:tmpl w:val="44F62522"/>
    <w:lvl w:ilvl="0" w:tplc="D4185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C089F"/>
    <w:multiLevelType w:val="hybridMultilevel"/>
    <w:tmpl w:val="0BC4CEF6"/>
    <w:lvl w:ilvl="0" w:tplc="AAEEF1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57634"/>
    <w:multiLevelType w:val="hybridMultilevel"/>
    <w:tmpl w:val="B5502D22"/>
    <w:lvl w:ilvl="0" w:tplc="EDC41F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D11AD"/>
    <w:multiLevelType w:val="hybridMultilevel"/>
    <w:tmpl w:val="B61CE0C2"/>
    <w:lvl w:ilvl="0" w:tplc="31807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555189">
    <w:abstractNumId w:val="1"/>
  </w:num>
  <w:num w:numId="2" w16cid:durableId="1918325030">
    <w:abstractNumId w:val="2"/>
  </w:num>
  <w:num w:numId="3" w16cid:durableId="1345211072">
    <w:abstractNumId w:val="0"/>
  </w:num>
  <w:num w:numId="4" w16cid:durableId="1501655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77"/>
    <w:rsid w:val="000008CC"/>
    <w:rsid w:val="00005710"/>
    <w:rsid w:val="0000709C"/>
    <w:rsid w:val="00010489"/>
    <w:rsid w:val="00014AF8"/>
    <w:rsid w:val="000207E5"/>
    <w:rsid w:val="000249D3"/>
    <w:rsid w:val="00025F42"/>
    <w:rsid w:val="000321ED"/>
    <w:rsid w:val="000322C3"/>
    <w:rsid w:val="00033ECA"/>
    <w:rsid w:val="00034B40"/>
    <w:rsid w:val="000421ED"/>
    <w:rsid w:val="00042EE8"/>
    <w:rsid w:val="000464F4"/>
    <w:rsid w:val="000505AD"/>
    <w:rsid w:val="00051DDD"/>
    <w:rsid w:val="00051E96"/>
    <w:rsid w:val="0005354D"/>
    <w:rsid w:val="00057762"/>
    <w:rsid w:val="00061F12"/>
    <w:rsid w:val="000659B6"/>
    <w:rsid w:val="0006669F"/>
    <w:rsid w:val="000846E9"/>
    <w:rsid w:val="00087D07"/>
    <w:rsid w:val="00092376"/>
    <w:rsid w:val="00092C11"/>
    <w:rsid w:val="0009303A"/>
    <w:rsid w:val="000956BF"/>
    <w:rsid w:val="000969CF"/>
    <w:rsid w:val="000A03EE"/>
    <w:rsid w:val="000A243B"/>
    <w:rsid w:val="000A3144"/>
    <w:rsid w:val="000A7114"/>
    <w:rsid w:val="000B468D"/>
    <w:rsid w:val="000B625A"/>
    <w:rsid w:val="000B7031"/>
    <w:rsid w:val="000C1831"/>
    <w:rsid w:val="000C3CBC"/>
    <w:rsid w:val="000C42BB"/>
    <w:rsid w:val="000C4D5D"/>
    <w:rsid w:val="000C5ED7"/>
    <w:rsid w:val="000D21ED"/>
    <w:rsid w:val="000F3FCF"/>
    <w:rsid w:val="000F5FB7"/>
    <w:rsid w:val="000F6AA6"/>
    <w:rsid w:val="00101186"/>
    <w:rsid w:val="0010453C"/>
    <w:rsid w:val="00106B71"/>
    <w:rsid w:val="00107EB2"/>
    <w:rsid w:val="001113E1"/>
    <w:rsid w:val="00115103"/>
    <w:rsid w:val="00121C95"/>
    <w:rsid w:val="001439F7"/>
    <w:rsid w:val="0014643C"/>
    <w:rsid w:val="0014773D"/>
    <w:rsid w:val="00152122"/>
    <w:rsid w:val="00154552"/>
    <w:rsid w:val="00157616"/>
    <w:rsid w:val="001603E6"/>
    <w:rsid w:val="001605B0"/>
    <w:rsid w:val="00164718"/>
    <w:rsid w:val="00164875"/>
    <w:rsid w:val="001669DA"/>
    <w:rsid w:val="001716AA"/>
    <w:rsid w:val="0017549A"/>
    <w:rsid w:val="001766C4"/>
    <w:rsid w:val="00177938"/>
    <w:rsid w:val="001872A9"/>
    <w:rsid w:val="001902A5"/>
    <w:rsid w:val="00195126"/>
    <w:rsid w:val="001A07B6"/>
    <w:rsid w:val="001A7F1D"/>
    <w:rsid w:val="001B14DE"/>
    <w:rsid w:val="001C25E7"/>
    <w:rsid w:val="001C749B"/>
    <w:rsid w:val="001C7B8D"/>
    <w:rsid w:val="001D0885"/>
    <w:rsid w:val="001D2EEC"/>
    <w:rsid w:val="001D633F"/>
    <w:rsid w:val="001E07E1"/>
    <w:rsid w:val="001F32B5"/>
    <w:rsid w:val="001F38F7"/>
    <w:rsid w:val="001F3ED0"/>
    <w:rsid w:val="001F6006"/>
    <w:rsid w:val="001F693E"/>
    <w:rsid w:val="00202B4A"/>
    <w:rsid w:val="00203252"/>
    <w:rsid w:val="002053CD"/>
    <w:rsid w:val="002067A1"/>
    <w:rsid w:val="00206A4D"/>
    <w:rsid w:val="00214BED"/>
    <w:rsid w:val="002246E1"/>
    <w:rsid w:val="0022471F"/>
    <w:rsid w:val="00224A28"/>
    <w:rsid w:val="00227242"/>
    <w:rsid w:val="002279E3"/>
    <w:rsid w:val="002335C7"/>
    <w:rsid w:val="00236B0E"/>
    <w:rsid w:val="002408A0"/>
    <w:rsid w:val="00254F2B"/>
    <w:rsid w:val="002606C3"/>
    <w:rsid w:val="00260DE2"/>
    <w:rsid w:val="00261329"/>
    <w:rsid w:val="00267A99"/>
    <w:rsid w:val="0028599A"/>
    <w:rsid w:val="00292E32"/>
    <w:rsid w:val="00296F1F"/>
    <w:rsid w:val="002975FE"/>
    <w:rsid w:val="002977E4"/>
    <w:rsid w:val="002A03A9"/>
    <w:rsid w:val="002A73A5"/>
    <w:rsid w:val="002B084A"/>
    <w:rsid w:val="002B2391"/>
    <w:rsid w:val="002B2B8A"/>
    <w:rsid w:val="002B354C"/>
    <w:rsid w:val="002B781E"/>
    <w:rsid w:val="002B7F64"/>
    <w:rsid w:val="002C1C47"/>
    <w:rsid w:val="002C38FE"/>
    <w:rsid w:val="002C54CE"/>
    <w:rsid w:val="002D0488"/>
    <w:rsid w:val="002D50D8"/>
    <w:rsid w:val="002D6C6B"/>
    <w:rsid w:val="002D7291"/>
    <w:rsid w:val="002E036D"/>
    <w:rsid w:val="002E7346"/>
    <w:rsid w:val="002F01F4"/>
    <w:rsid w:val="002F636B"/>
    <w:rsid w:val="00305ACA"/>
    <w:rsid w:val="00306B6F"/>
    <w:rsid w:val="00306BDE"/>
    <w:rsid w:val="00310FF8"/>
    <w:rsid w:val="00317AE8"/>
    <w:rsid w:val="00321F2C"/>
    <w:rsid w:val="003246B3"/>
    <w:rsid w:val="00324DE0"/>
    <w:rsid w:val="00327F95"/>
    <w:rsid w:val="0033163F"/>
    <w:rsid w:val="0033340C"/>
    <w:rsid w:val="00335602"/>
    <w:rsid w:val="00341066"/>
    <w:rsid w:val="00342CE8"/>
    <w:rsid w:val="00343011"/>
    <w:rsid w:val="00343BB4"/>
    <w:rsid w:val="00344E5A"/>
    <w:rsid w:val="00347627"/>
    <w:rsid w:val="00350839"/>
    <w:rsid w:val="00363C82"/>
    <w:rsid w:val="003664BF"/>
    <w:rsid w:val="003678D6"/>
    <w:rsid w:val="00370D9B"/>
    <w:rsid w:val="00372F7F"/>
    <w:rsid w:val="00375378"/>
    <w:rsid w:val="00384E72"/>
    <w:rsid w:val="00384F41"/>
    <w:rsid w:val="003A3E18"/>
    <w:rsid w:val="003A52D0"/>
    <w:rsid w:val="003A54EB"/>
    <w:rsid w:val="003A62F4"/>
    <w:rsid w:val="003A660D"/>
    <w:rsid w:val="003A7769"/>
    <w:rsid w:val="003B2911"/>
    <w:rsid w:val="003B5F52"/>
    <w:rsid w:val="003C47C9"/>
    <w:rsid w:val="003C5D8B"/>
    <w:rsid w:val="003D238C"/>
    <w:rsid w:val="003E09F8"/>
    <w:rsid w:val="003E2790"/>
    <w:rsid w:val="003F2977"/>
    <w:rsid w:val="003F4D43"/>
    <w:rsid w:val="003F5E60"/>
    <w:rsid w:val="003F78F0"/>
    <w:rsid w:val="00407590"/>
    <w:rsid w:val="004112C5"/>
    <w:rsid w:val="0041612D"/>
    <w:rsid w:val="00423C6C"/>
    <w:rsid w:val="00426273"/>
    <w:rsid w:val="00431790"/>
    <w:rsid w:val="00431B96"/>
    <w:rsid w:val="00437A6E"/>
    <w:rsid w:val="00441773"/>
    <w:rsid w:val="00454B1C"/>
    <w:rsid w:val="00454C98"/>
    <w:rsid w:val="00461E2A"/>
    <w:rsid w:val="00461FC9"/>
    <w:rsid w:val="00470473"/>
    <w:rsid w:val="0047103A"/>
    <w:rsid w:val="00471723"/>
    <w:rsid w:val="004727F0"/>
    <w:rsid w:val="00476404"/>
    <w:rsid w:val="004853F8"/>
    <w:rsid w:val="004A0194"/>
    <w:rsid w:val="004B3259"/>
    <w:rsid w:val="004B4E82"/>
    <w:rsid w:val="004B63E6"/>
    <w:rsid w:val="004D06B9"/>
    <w:rsid w:val="004D2E4D"/>
    <w:rsid w:val="004D6340"/>
    <w:rsid w:val="004E036C"/>
    <w:rsid w:val="004E4200"/>
    <w:rsid w:val="004E6A93"/>
    <w:rsid w:val="004F7377"/>
    <w:rsid w:val="005078D5"/>
    <w:rsid w:val="00511387"/>
    <w:rsid w:val="00511901"/>
    <w:rsid w:val="00515C52"/>
    <w:rsid w:val="005204EA"/>
    <w:rsid w:val="0052496E"/>
    <w:rsid w:val="00531A3B"/>
    <w:rsid w:val="00543EB5"/>
    <w:rsid w:val="00552A78"/>
    <w:rsid w:val="005623E3"/>
    <w:rsid w:val="0056596D"/>
    <w:rsid w:val="00565B75"/>
    <w:rsid w:val="00571ECA"/>
    <w:rsid w:val="0058216F"/>
    <w:rsid w:val="00593DC4"/>
    <w:rsid w:val="005950EF"/>
    <w:rsid w:val="00595B0A"/>
    <w:rsid w:val="00595F90"/>
    <w:rsid w:val="005969A1"/>
    <w:rsid w:val="00596DE1"/>
    <w:rsid w:val="00597121"/>
    <w:rsid w:val="00597C2F"/>
    <w:rsid w:val="005A4F2B"/>
    <w:rsid w:val="005B25B1"/>
    <w:rsid w:val="005C505B"/>
    <w:rsid w:val="005D3657"/>
    <w:rsid w:val="005D3975"/>
    <w:rsid w:val="005D4D4F"/>
    <w:rsid w:val="005D5C30"/>
    <w:rsid w:val="005E0EB1"/>
    <w:rsid w:val="005E2DC5"/>
    <w:rsid w:val="005E3B62"/>
    <w:rsid w:val="005F0A02"/>
    <w:rsid w:val="005F4759"/>
    <w:rsid w:val="005F5382"/>
    <w:rsid w:val="005F6379"/>
    <w:rsid w:val="006001AF"/>
    <w:rsid w:val="00602050"/>
    <w:rsid w:val="00605CF7"/>
    <w:rsid w:val="00607313"/>
    <w:rsid w:val="0062223E"/>
    <w:rsid w:val="00657BE1"/>
    <w:rsid w:val="00661E22"/>
    <w:rsid w:val="00663464"/>
    <w:rsid w:val="00663857"/>
    <w:rsid w:val="00670552"/>
    <w:rsid w:val="00671C15"/>
    <w:rsid w:val="00672929"/>
    <w:rsid w:val="00682FE1"/>
    <w:rsid w:val="00683485"/>
    <w:rsid w:val="00685507"/>
    <w:rsid w:val="00687335"/>
    <w:rsid w:val="00690340"/>
    <w:rsid w:val="00694DA5"/>
    <w:rsid w:val="0069796C"/>
    <w:rsid w:val="006A0F7C"/>
    <w:rsid w:val="006A4CC1"/>
    <w:rsid w:val="006A69D1"/>
    <w:rsid w:val="006B5651"/>
    <w:rsid w:val="006C0231"/>
    <w:rsid w:val="006C2B13"/>
    <w:rsid w:val="006C306D"/>
    <w:rsid w:val="006D24C9"/>
    <w:rsid w:val="006D2A51"/>
    <w:rsid w:val="006D3923"/>
    <w:rsid w:val="006E1102"/>
    <w:rsid w:val="006E1A86"/>
    <w:rsid w:val="006E3A28"/>
    <w:rsid w:val="006E42A1"/>
    <w:rsid w:val="006E47D9"/>
    <w:rsid w:val="006F73B3"/>
    <w:rsid w:val="00702FC9"/>
    <w:rsid w:val="00707DE3"/>
    <w:rsid w:val="00711F16"/>
    <w:rsid w:val="00712E94"/>
    <w:rsid w:val="0071417D"/>
    <w:rsid w:val="00715AB0"/>
    <w:rsid w:val="00715EE6"/>
    <w:rsid w:val="00717D8A"/>
    <w:rsid w:val="0072168A"/>
    <w:rsid w:val="00724434"/>
    <w:rsid w:val="00726A88"/>
    <w:rsid w:val="0073117B"/>
    <w:rsid w:val="00731472"/>
    <w:rsid w:val="00735B8E"/>
    <w:rsid w:val="007366DF"/>
    <w:rsid w:val="0074056E"/>
    <w:rsid w:val="0074199A"/>
    <w:rsid w:val="00747DB2"/>
    <w:rsid w:val="00752326"/>
    <w:rsid w:val="00753077"/>
    <w:rsid w:val="0075537F"/>
    <w:rsid w:val="0076182A"/>
    <w:rsid w:val="0076189D"/>
    <w:rsid w:val="0076403D"/>
    <w:rsid w:val="007649BF"/>
    <w:rsid w:val="0076585E"/>
    <w:rsid w:val="00774153"/>
    <w:rsid w:val="00780D07"/>
    <w:rsid w:val="00781321"/>
    <w:rsid w:val="007822E1"/>
    <w:rsid w:val="007850ED"/>
    <w:rsid w:val="007854BC"/>
    <w:rsid w:val="007868CA"/>
    <w:rsid w:val="007868EA"/>
    <w:rsid w:val="00797F47"/>
    <w:rsid w:val="007A1314"/>
    <w:rsid w:val="007A281C"/>
    <w:rsid w:val="007A47FB"/>
    <w:rsid w:val="007B281A"/>
    <w:rsid w:val="007B4010"/>
    <w:rsid w:val="007B73B6"/>
    <w:rsid w:val="007C1558"/>
    <w:rsid w:val="007C7003"/>
    <w:rsid w:val="007C78FE"/>
    <w:rsid w:val="007E20D9"/>
    <w:rsid w:val="007E3747"/>
    <w:rsid w:val="007E62EE"/>
    <w:rsid w:val="007F0463"/>
    <w:rsid w:val="007F2F13"/>
    <w:rsid w:val="007F3A7B"/>
    <w:rsid w:val="007F484D"/>
    <w:rsid w:val="0080503E"/>
    <w:rsid w:val="0080577C"/>
    <w:rsid w:val="00806999"/>
    <w:rsid w:val="00807212"/>
    <w:rsid w:val="00807AAD"/>
    <w:rsid w:val="00820195"/>
    <w:rsid w:val="00820478"/>
    <w:rsid w:val="00836AAE"/>
    <w:rsid w:val="00840E9D"/>
    <w:rsid w:val="0084155D"/>
    <w:rsid w:val="0084395E"/>
    <w:rsid w:val="00851360"/>
    <w:rsid w:val="0085268B"/>
    <w:rsid w:val="00855A00"/>
    <w:rsid w:val="00855F2C"/>
    <w:rsid w:val="00863A16"/>
    <w:rsid w:val="0086485E"/>
    <w:rsid w:val="00866AB3"/>
    <w:rsid w:val="00871C28"/>
    <w:rsid w:val="00882C55"/>
    <w:rsid w:val="00883310"/>
    <w:rsid w:val="00885651"/>
    <w:rsid w:val="0089781D"/>
    <w:rsid w:val="00897CBD"/>
    <w:rsid w:val="008A0C40"/>
    <w:rsid w:val="008A261F"/>
    <w:rsid w:val="008A277C"/>
    <w:rsid w:val="008A3209"/>
    <w:rsid w:val="008A3918"/>
    <w:rsid w:val="008A63DB"/>
    <w:rsid w:val="008B7083"/>
    <w:rsid w:val="008C5D7B"/>
    <w:rsid w:val="008C78F7"/>
    <w:rsid w:val="008D35DF"/>
    <w:rsid w:val="008D4B31"/>
    <w:rsid w:val="008D7BFA"/>
    <w:rsid w:val="008E049A"/>
    <w:rsid w:val="008E66CD"/>
    <w:rsid w:val="008F234F"/>
    <w:rsid w:val="008F291A"/>
    <w:rsid w:val="008F61BA"/>
    <w:rsid w:val="009048E4"/>
    <w:rsid w:val="009131AD"/>
    <w:rsid w:val="009137F7"/>
    <w:rsid w:val="0092048D"/>
    <w:rsid w:val="00920CF5"/>
    <w:rsid w:val="009234F4"/>
    <w:rsid w:val="00926524"/>
    <w:rsid w:val="00931270"/>
    <w:rsid w:val="00931F51"/>
    <w:rsid w:val="00933595"/>
    <w:rsid w:val="009347AF"/>
    <w:rsid w:val="00934F8A"/>
    <w:rsid w:val="009413F7"/>
    <w:rsid w:val="00951C4C"/>
    <w:rsid w:val="009566A6"/>
    <w:rsid w:val="00957B3D"/>
    <w:rsid w:val="0096318D"/>
    <w:rsid w:val="0096319B"/>
    <w:rsid w:val="00963358"/>
    <w:rsid w:val="00966197"/>
    <w:rsid w:val="00966681"/>
    <w:rsid w:val="00970361"/>
    <w:rsid w:val="00972117"/>
    <w:rsid w:val="00977253"/>
    <w:rsid w:val="00980085"/>
    <w:rsid w:val="009805C3"/>
    <w:rsid w:val="00981E07"/>
    <w:rsid w:val="00991AB7"/>
    <w:rsid w:val="00991B7C"/>
    <w:rsid w:val="009952A0"/>
    <w:rsid w:val="0099578D"/>
    <w:rsid w:val="009A0F19"/>
    <w:rsid w:val="009A181D"/>
    <w:rsid w:val="009A19D9"/>
    <w:rsid w:val="009A35D6"/>
    <w:rsid w:val="009A6B37"/>
    <w:rsid w:val="009B1620"/>
    <w:rsid w:val="009B1C6F"/>
    <w:rsid w:val="009C29B8"/>
    <w:rsid w:val="009C6D78"/>
    <w:rsid w:val="009E64C2"/>
    <w:rsid w:val="009F34AD"/>
    <w:rsid w:val="00A00F21"/>
    <w:rsid w:val="00A0181B"/>
    <w:rsid w:val="00A020B6"/>
    <w:rsid w:val="00A044FC"/>
    <w:rsid w:val="00A06ABD"/>
    <w:rsid w:val="00A135C6"/>
    <w:rsid w:val="00A13AF7"/>
    <w:rsid w:val="00A168A2"/>
    <w:rsid w:val="00A21AAB"/>
    <w:rsid w:val="00A23633"/>
    <w:rsid w:val="00A2568C"/>
    <w:rsid w:val="00A360B6"/>
    <w:rsid w:val="00A36796"/>
    <w:rsid w:val="00A37FCF"/>
    <w:rsid w:val="00A42C56"/>
    <w:rsid w:val="00A47318"/>
    <w:rsid w:val="00A47C6D"/>
    <w:rsid w:val="00A74C8B"/>
    <w:rsid w:val="00A7691E"/>
    <w:rsid w:val="00A841D7"/>
    <w:rsid w:val="00A8593D"/>
    <w:rsid w:val="00A87CC9"/>
    <w:rsid w:val="00A91DF9"/>
    <w:rsid w:val="00AA0D19"/>
    <w:rsid w:val="00AA1A31"/>
    <w:rsid w:val="00AB0CFA"/>
    <w:rsid w:val="00AB13D0"/>
    <w:rsid w:val="00AB6100"/>
    <w:rsid w:val="00AC3530"/>
    <w:rsid w:val="00AC4F6C"/>
    <w:rsid w:val="00AD1691"/>
    <w:rsid w:val="00AD583B"/>
    <w:rsid w:val="00AF269E"/>
    <w:rsid w:val="00AF5989"/>
    <w:rsid w:val="00AF7D47"/>
    <w:rsid w:val="00B07679"/>
    <w:rsid w:val="00B10970"/>
    <w:rsid w:val="00B11A9D"/>
    <w:rsid w:val="00B205C5"/>
    <w:rsid w:val="00B21F18"/>
    <w:rsid w:val="00B22AED"/>
    <w:rsid w:val="00B261B8"/>
    <w:rsid w:val="00B40F7E"/>
    <w:rsid w:val="00B5032C"/>
    <w:rsid w:val="00B6183F"/>
    <w:rsid w:val="00B628A8"/>
    <w:rsid w:val="00B72380"/>
    <w:rsid w:val="00B75BC3"/>
    <w:rsid w:val="00B75D3C"/>
    <w:rsid w:val="00B81BCE"/>
    <w:rsid w:val="00B92084"/>
    <w:rsid w:val="00B96F22"/>
    <w:rsid w:val="00BA1479"/>
    <w:rsid w:val="00BA6EEC"/>
    <w:rsid w:val="00BC3267"/>
    <w:rsid w:val="00BC487E"/>
    <w:rsid w:val="00BC5846"/>
    <w:rsid w:val="00BC66BE"/>
    <w:rsid w:val="00BD0DED"/>
    <w:rsid w:val="00BE7F05"/>
    <w:rsid w:val="00C06108"/>
    <w:rsid w:val="00C123D3"/>
    <w:rsid w:val="00C1386C"/>
    <w:rsid w:val="00C1510B"/>
    <w:rsid w:val="00C22410"/>
    <w:rsid w:val="00C24A4C"/>
    <w:rsid w:val="00C27275"/>
    <w:rsid w:val="00C320BE"/>
    <w:rsid w:val="00C32831"/>
    <w:rsid w:val="00C35029"/>
    <w:rsid w:val="00C3559F"/>
    <w:rsid w:val="00C35C2B"/>
    <w:rsid w:val="00C424AE"/>
    <w:rsid w:val="00C4735E"/>
    <w:rsid w:val="00C47819"/>
    <w:rsid w:val="00C50907"/>
    <w:rsid w:val="00C523F7"/>
    <w:rsid w:val="00C527AB"/>
    <w:rsid w:val="00C611D8"/>
    <w:rsid w:val="00C63033"/>
    <w:rsid w:val="00C63294"/>
    <w:rsid w:val="00C740FE"/>
    <w:rsid w:val="00C80955"/>
    <w:rsid w:val="00C8459E"/>
    <w:rsid w:val="00C848AD"/>
    <w:rsid w:val="00C8752E"/>
    <w:rsid w:val="00CA1276"/>
    <w:rsid w:val="00CA4CA2"/>
    <w:rsid w:val="00CA51EF"/>
    <w:rsid w:val="00CA5A0E"/>
    <w:rsid w:val="00CB07EB"/>
    <w:rsid w:val="00CB2024"/>
    <w:rsid w:val="00CB23AF"/>
    <w:rsid w:val="00CB4446"/>
    <w:rsid w:val="00CC235D"/>
    <w:rsid w:val="00CC2FCA"/>
    <w:rsid w:val="00CC5A00"/>
    <w:rsid w:val="00CD022F"/>
    <w:rsid w:val="00CD047C"/>
    <w:rsid w:val="00CD1295"/>
    <w:rsid w:val="00CD28C3"/>
    <w:rsid w:val="00CD43DA"/>
    <w:rsid w:val="00CD68A2"/>
    <w:rsid w:val="00CD7BCD"/>
    <w:rsid w:val="00CD7BF4"/>
    <w:rsid w:val="00CE0CAC"/>
    <w:rsid w:val="00CE1E3B"/>
    <w:rsid w:val="00CE4055"/>
    <w:rsid w:val="00CE40C1"/>
    <w:rsid w:val="00CE5149"/>
    <w:rsid w:val="00CE5CA9"/>
    <w:rsid w:val="00CF2460"/>
    <w:rsid w:val="00CF5ECF"/>
    <w:rsid w:val="00D03F07"/>
    <w:rsid w:val="00D05837"/>
    <w:rsid w:val="00D0729B"/>
    <w:rsid w:val="00D158C8"/>
    <w:rsid w:val="00D17943"/>
    <w:rsid w:val="00D21114"/>
    <w:rsid w:val="00D2455E"/>
    <w:rsid w:val="00D2475A"/>
    <w:rsid w:val="00D318E9"/>
    <w:rsid w:val="00D3510D"/>
    <w:rsid w:val="00D40CF8"/>
    <w:rsid w:val="00D43217"/>
    <w:rsid w:val="00D45319"/>
    <w:rsid w:val="00D471D1"/>
    <w:rsid w:val="00D52E86"/>
    <w:rsid w:val="00D55CC4"/>
    <w:rsid w:val="00D73670"/>
    <w:rsid w:val="00D80730"/>
    <w:rsid w:val="00D81FCD"/>
    <w:rsid w:val="00D82928"/>
    <w:rsid w:val="00D846DB"/>
    <w:rsid w:val="00DB1AF3"/>
    <w:rsid w:val="00DB6516"/>
    <w:rsid w:val="00DC3DFF"/>
    <w:rsid w:val="00DD282E"/>
    <w:rsid w:val="00DD2C62"/>
    <w:rsid w:val="00DE1A2A"/>
    <w:rsid w:val="00DE2054"/>
    <w:rsid w:val="00DE3581"/>
    <w:rsid w:val="00DF34D7"/>
    <w:rsid w:val="00DF39D9"/>
    <w:rsid w:val="00DF7F1F"/>
    <w:rsid w:val="00E00077"/>
    <w:rsid w:val="00E07EBD"/>
    <w:rsid w:val="00E12ACD"/>
    <w:rsid w:val="00E136F1"/>
    <w:rsid w:val="00E14306"/>
    <w:rsid w:val="00E20257"/>
    <w:rsid w:val="00E23098"/>
    <w:rsid w:val="00E2507C"/>
    <w:rsid w:val="00E344BA"/>
    <w:rsid w:val="00E43144"/>
    <w:rsid w:val="00E469BA"/>
    <w:rsid w:val="00E559D2"/>
    <w:rsid w:val="00E5697C"/>
    <w:rsid w:val="00E57468"/>
    <w:rsid w:val="00E61968"/>
    <w:rsid w:val="00E718E6"/>
    <w:rsid w:val="00E77672"/>
    <w:rsid w:val="00E80FB3"/>
    <w:rsid w:val="00E82ECE"/>
    <w:rsid w:val="00E96211"/>
    <w:rsid w:val="00E976EC"/>
    <w:rsid w:val="00EA0293"/>
    <w:rsid w:val="00EA1873"/>
    <w:rsid w:val="00EA35F8"/>
    <w:rsid w:val="00EB0259"/>
    <w:rsid w:val="00EB1385"/>
    <w:rsid w:val="00EB2A49"/>
    <w:rsid w:val="00EB5F2C"/>
    <w:rsid w:val="00EB724E"/>
    <w:rsid w:val="00EC7011"/>
    <w:rsid w:val="00ED17E7"/>
    <w:rsid w:val="00ED20F0"/>
    <w:rsid w:val="00ED296D"/>
    <w:rsid w:val="00ED4DE6"/>
    <w:rsid w:val="00ED56B0"/>
    <w:rsid w:val="00EE0803"/>
    <w:rsid w:val="00EE2651"/>
    <w:rsid w:val="00EE43F5"/>
    <w:rsid w:val="00F018DD"/>
    <w:rsid w:val="00F0323E"/>
    <w:rsid w:val="00F053E0"/>
    <w:rsid w:val="00F068D1"/>
    <w:rsid w:val="00F07F5F"/>
    <w:rsid w:val="00F13CF1"/>
    <w:rsid w:val="00F162F8"/>
    <w:rsid w:val="00F16423"/>
    <w:rsid w:val="00F27C56"/>
    <w:rsid w:val="00F312D8"/>
    <w:rsid w:val="00F32B15"/>
    <w:rsid w:val="00F35D18"/>
    <w:rsid w:val="00F36644"/>
    <w:rsid w:val="00F4634C"/>
    <w:rsid w:val="00F50CE1"/>
    <w:rsid w:val="00F53C30"/>
    <w:rsid w:val="00F602E8"/>
    <w:rsid w:val="00F65502"/>
    <w:rsid w:val="00F677BA"/>
    <w:rsid w:val="00F72478"/>
    <w:rsid w:val="00F73234"/>
    <w:rsid w:val="00F80F84"/>
    <w:rsid w:val="00F90CA5"/>
    <w:rsid w:val="00FA00B7"/>
    <w:rsid w:val="00FA024E"/>
    <w:rsid w:val="00FA69AD"/>
    <w:rsid w:val="00FA7AA0"/>
    <w:rsid w:val="00FB3B58"/>
    <w:rsid w:val="00FB4E7B"/>
    <w:rsid w:val="00FC0E23"/>
    <w:rsid w:val="00FD4BB5"/>
    <w:rsid w:val="00FE0F46"/>
    <w:rsid w:val="00FE325A"/>
    <w:rsid w:val="00FE799B"/>
    <w:rsid w:val="00FF097D"/>
    <w:rsid w:val="00FF2C84"/>
    <w:rsid w:val="00FF48E4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94054"/>
  <w15:chartTrackingRefBased/>
  <w15:docId w15:val="{7C57619D-28FA-4564-A090-FF886C7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0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3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F07"/>
    <w:pPr>
      <w:spacing w:line="240" w:lineRule="auto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F07"/>
    <w:rPr>
      <w:rFonts w:ascii="Times New Roman" w:hAnsi="Times New Roman"/>
      <w:kern w:val="0"/>
      <w:sz w:val="20"/>
      <w:szCs w:val="20"/>
      <w14:ligatures w14:val="none"/>
    </w:rPr>
  </w:style>
  <w:style w:type="character" w:styleId="Hyperlink">
    <w:name w:val="Hyperlink"/>
    <w:unhideWhenUsed/>
    <w:rsid w:val="00CE5CA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E5C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5CA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CE5CA9"/>
    <w:rPr>
      <w:vertAlign w:val="superscript"/>
    </w:rPr>
  </w:style>
  <w:style w:type="paragraph" w:styleId="Revision">
    <w:name w:val="Revision"/>
    <w:hidden/>
    <w:uiPriority w:val="99"/>
    <w:semiHidden/>
    <w:rsid w:val="00E12AC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B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001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3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144"/>
  </w:style>
  <w:style w:type="paragraph" w:styleId="Footer">
    <w:name w:val="footer"/>
    <w:basedOn w:val="Normal"/>
    <w:link w:val="FooterChar"/>
    <w:uiPriority w:val="99"/>
    <w:unhideWhenUsed/>
    <w:rsid w:val="000A3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ed7874-d737-4344-9277-792de38091d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BDDFC1E4F76468B79D96E19CAEB90" ma:contentTypeVersion="8" ma:contentTypeDescription="Create a new document." ma:contentTypeScope="" ma:versionID="b53da53a21537369c8f212c739af0e13">
  <xsd:schema xmlns:xsd="http://www.w3.org/2001/XMLSchema" xmlns:xs="http://www.w3.org/2001/XMLSchema" xmlns:p="http://schemas.microsoft.com/office/2006/metadata/properties" xmlns:ns3="78ed7874-d737-4344-9277-792de38091d3" xmlns:ns4="8b8a8a5f-2db6-45d7-8849-472a419b888c" targetNamespace="http://schemas.microsoft.com/office/2006/metadata/properties" ma:root="true" ma:fieldsID="966a213cdd84ea912583dc597f4f8354" ns3:_="" ns4:_="">
    <xsd:import namespace="78ed7874-d737-4344-9277-792de38091d3"/>
    <xsd:import namespace="8b8a8a5f-2db6-45d7-8849-472a419b88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d7874-d737-4344-9277-792de3809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8a5f-2db6-45d7-8849-472a419b88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341A8-83C7-4812-8083-39618FC9DD61}">
  <ds:schemaRefs>
    <ds:schemaRef ds:uri="http://schemas.microsoft.com/office/2006/metadata/properties"/>
    <ds:schemaRef ds:uri="http://schemas.microsoft.com/office/infopath/2007/PartnerControls"/>
    <ds:schemaRef ds:uri="78ed7874-d737-4344-9277-792de38091d3"/>
  </ds:schemaRefs>
</ds:datastoreItem>
</file>

<file path=customXml/itemProps2.xml><?xml version="1.0" encoding="utf-8"?>
<ds:datastoreItem xmlns:ds="http://schemas.openxmlformats.org/officeDocument/2006/customXml" ds:itemID="{E4D3B6FA-1406-4AAE-ABFF-2C5321041C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6A0323-4C1C-4E6D-9AD8-E6957CCBB6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492E0C-5B50-4353-AD87-06EC8E808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d7874-d737-4344-9277-792de38091d3"/>
    <ds:schemaRef ds:uri="8b8a8a5f-2db6-45d7-8849-472a419b8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Pavlini</dc:creator>
  <cp:keywords/>
  <dc:description/>
  <cp:lastModifiedBy>Timothy Capowski, Esq.</cp:lastModifiedBy>
  <cp:revision>3</cp:revision>
  <dcterms:created xsi:type="dcterms:W3CDTF">2024-02-26T22:24:00Z</dcterms:created>
  <dcterms:modified xsi:type="dcterms:W3CDTF">2024-02-26T22:25:00Z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4866-4581-1055</vt:lpwstr>
  </property>
  <property fmtid="{D5CDD505-2E9C-101B-9397-08002B2CF9AE}" pid="3" name="ContentTypeId">
    <vt:lpwstr>0x010100DEDBDDFC1E4F76468B79D96E19CAEB90</vt:lpwstr>
  </property>
</Properties>
</file>